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Hess Carl Aaron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1341"/>
        <w:gridCol w:w="921"/>
        <w:gridCol w:w="801"/>
        <w:gridCol w:w="1176"/>
        <w:gridCol w:w="831"/>
        <w:gridCol w:w="846"/>
      </w:tblGrid>
      <w:tr>
        <w:trPr>
          <w:tblHeader w:val="true"/>
        </w:trPr>
        <w:tc>
          <w:tcPr>
            <w:tcW w:w="131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80.854</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80.854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10,638.1411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17.0087</w:t>
            </w:r>
            <w:r>
              <w:rPr>
                <w:rFonts w:ascii="Times;serif" w:hAnsi="Times;serif"/>
                <w:color w:val="008000"/>
                <w:position w:val="7"/>
                <w:sz w:val="16"/>
                <w:sz w:val="20"/>
                <w:shd w:fill="FFFFFF" w:val="clear"/>
              </w:rPr>
              <w:t>(4)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296.26</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8,529.1243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restricted share units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restricted share units acquired pursuant to the participant's deferral election under the Willis Towers Watson Non-Qualified Stable Value Excess Plan for U.S. Employees.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A. Hess by Lina Vanessa Jaramillo,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5988"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793</Words>
  <Characters>4361</Characters>
  <CharactersWithSpaces>5067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