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Gebauer Julie Jarecke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WILLIS GROUP LIMITED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LIME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EC3M 7DQ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WILLIS TOWERS WATSON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Pres.-Health, Wealth &amp; Career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76"/>
        <w:gridCol w:w="276"/>
        <w:gridCol w:w="906"/>
        <w:gridCol w:w="801"/>
        <w:gridCol w:w="134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12.6282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Shares, nominal value $0.000304635 per share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12.6282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5,626.3389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Vested shares under the Willis Towers Watson Non-Qualified Stable Value Excess Plan for U.S. Employees settle for Ordinary Shares, nominal value $0.000304635 per share, on a 1:1 basis on the first business day of the month on which the NASDAQ Stock Market is open for business following the earlier of (i) the date that is 6 months after the reporting person's separation from service and (ii) the date that is 30 days after the reporting person's death.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share units credited to the participant's account by the Company pursuant to the Willis Towers Watson Non-Qualified Stable Value Excess Plan for U.S. Employees (the "Plan") accrual formula, net of the units acquired pursuant to the participant's contribution under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J. Gebauer by Gary Pang, Attorney-in-Fact (power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7865" TargetMode="External"/><Relationship Id="rId5" Type="http://schemas.openxmlformats.org/officeDocument/2006/relationships/hyperlink" Target="http://www.sec.gov/cgi-bin/browse-edgar?action=getcompany&amp;CIK=000114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3870</Characters>
  <CharactersWithSpaces>4510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