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Kurpis Joseph Stephen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WILLIS GROUP LIMITED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LIME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EC3M 7DQ</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WILLIS TOWERS WATSON PLC</w:t>
              </w:r>
            </w:hyperlink>
            <w:r>
              <w:rPr/>
              <w:t xml:space="preserve"> [ </w:t>
            </w:r>
            <w:r>
              <w:rPr>
                <w:rFonts w:ascii="Times;serif" w:hAnsi="Times;serif"/>
                <w:color w:val="0000FF"/>
                <w:sz w:val="24"/>
                <w:shd w:fill="FFFFFF" w:val="clear"/>
              </w:rPr>
              <w:t>WTW</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PAO and Controller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9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76"/>
        <w:gridCol w:w="276"/>
        <w:gridCol w:w="906"/>
        <w:gridCol w:w="801"/>
        <w:gridCol w:w="1341"/>
        <w:gridCol w:w="921"/>
        <w:gridCol w:w="801"/>
        <w:gridCol w:w="936"/>
        <w:gridCol w:w="831"/>
        <w:gridCol w:w="846"/>
      </w:tblGrid>
      <w:tr>
        <w:trPr>
          <w:tblHeader w:val="true"/>
        </w:trPr>
        <w:tc>
          <w:tcPr>
            <w:tcW w:w="129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2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3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31.0899</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31.0899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296.26</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452.2276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 units settle for Ordinary Shares, nominal value $0.000304635 per share, on a 1:1 basis 6 months after the reporting person's termination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restricted share units acquired pursuant to the Willis Towers Watson Non-Qualified Deferred Savings Plan for U.S. Employees (the "Plan"), including the participant's deferral election under the Plan and the Company's matching contribution on the participant's deferral election credited to the participant's account in the form of restricted share units under the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S. Kurpis by Lina Vanessa Jaramillo, Attorney-in-Fact (power of attorney previously filed)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97048" TargetMode="External"/><Relationship Id="rId5" Type="http://schemas.openxmlformats.org/officeDocument/2006/relationships/hyperlink" Target="http://www.sec.gov/cgi-bin/browse-edgar?action=getcompany&amp;CIK=00011405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3707</Characters>
  <CharactersWithSpaces>4304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