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Hammond Michael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11" w:lineRule="auto"/>
        <w:rPr>
          <w:sz w:val="20"/>
          <w:szCs w:val="20"/>
          <w:color w:val="auto"/>
        </w:rPr>
      </w:pPr>
      <w:r>
        <w:rPr>
          <w:rFonts w:ascii="Times New Roman" w:cs="Times New Roman" w:eastAsia="Times New Roman" w:hAnsi="Times New Roman"/>
          <w:sz w:val="17"/>
          <w:szCs w:val="17"/>
          <w:color w:val="0000FF"/>
        </w:rPr>
        <w:t>C/O WILLIS GROUP LIMITED 51 LIME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WILLIS TOWERS WATSON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WTW</w:t>
      </w:r>
    </w:p>
    <w:p>
      <w:pPr>
        <w:spacing w:after="0"/>
        <w:rPr>
          <w:sz w:val="20"/>
          <w:szCs w:val="20"/>
          <w:color w:val="auto"/>
        </w:rPr>
      </w:pPr>
      <w:r>
        <w:rPr>
          <w:rFonts w:ascii="Times New Roman" w:cs="Times New Roman" w:eastAsia="Times New Roman" w:hAnsi="Times New Roman"/>
          <w:sz w:val="21"/>
          <w:szCs w:val="21"/>
          <w:color w:val="auto"/>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2"/>
                <w:szCs w:val="12"/>
                <w:color w:val="auto"/>
              </w:rPr>
            </w:pPr>
          </w:p>
        </w:tc>
        <w:tc>
          <w:tcPr>
            <w:tcW w:w="3600" w:type="dxa"/>
            <w:vAlign w:val="bottom"/>
            <w:gridSpan w:val="9"/>
          </w:tcPr>
          <w:p>
            <w:pPr>
              <w:ind w:left="26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ind w:left="26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EC3M 7DQ</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 nominal value</w:t>
            </w:r>
          </w:p>
        </w:tc>
        <w:tc>
          <w:tcPr>
            <w:tcW w:w="17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340.635</w:t>
            </w:r>
            <w:r>
              <w:rPr>
                <w:rFonts w:ascii="Times New Roman" w:cs="Times New Roman" w:eastAsia="Times New Roman" w:hAnsi="Times New Roman"/>
                <w:sz w:val="22"/>
                <w:szCs w:val="22"/>
                <w:color w:val="008000"/>
                <w:w w:val="99"/>
                <w:vertAlign w:val="superscript"/>
              </w:rPr>
              <w:t>(1)</w:t>
            </w:r>
          </w:p>
        </w:tc>
        <w:tc>
          <w:tcPr>
            <w:tcW w:w="4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Pr>
          <w:p>
            <w:pPr>
              <w:spacing w:after="0"/>
              <w:rPr>
                <w:sz w:val="21"/>
                <w:szCs w:val="21"/>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247.64</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2,164.02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$0.000304635 per share</w:t>
            </w:r>
          </w:p>
        </w:tc>
        <w:tc>
          <w:tcPr>
            <w:tcW w:w="17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Withholding of shares by Issuer incident to the tax payment related to the vesting and settlement of 709.655 restricted share units granted on May 15, 2025.</w:t>
      </w:r>
    </w:p>
    <w:p>
      <w:pPr>
        <w:sectPr>
          <w:pgSz w:w="11900" w:h="16838" w:orient="portrait"/>
          <w:cols w:equalWidth="0" w:num="1">
            <w:col w:w="11080"/>
          </w:cols>
          <w:pgMar w:left="460" w:top="219" w:right="359" w:bottom="144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 Hammond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24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Lina Vanessa Jaramillo,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47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976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 attached)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9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67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Matthew Furman, Nicole Napolitano, Cindy Hanna, Lina Vanessa Jaramillo, and Gary Pang, or any of them signing singly, and with full power of substitution, the undersigned's true and lawful attorney-in-fact to:</w:t>
      </w:r>
    </w:p>
    <w:p>
      <w:pPr>
        <w:spacing w:after="0" w:line="69" w:lineRule="exact"/>
        <w:rPr>
          <w:sz w:val="20"/>
          <w:szCs w:val="20"/>
          <w:color w:val="auto"/>
        </w:rPr>
      </w:pPr>
    </w:p>
    <w:p>
      <w:pPr>
        <w:ind w:left="520" w:right="1679" w:firstLine="6"/>
        <w:spacing w:after="0" w:line="270" w:lineRule="auto"/>
        <w:tabs>
          <w:tab w:leader="none" w:pos="9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Willis Towers Watson Public Limited Company or one of its subsidiaries (as applicable, the ?Company?), Forms 3, 4 and 5 in accordance with Section 16(a) of the Securities Exchange Act of 1934, as amended (the ?Exchange Act?), and the rules and regulations of the United States Securities and Exchange Commission (?SEC?) thereunder;</w:t>
      </w:r>
    </w:p>
    <w:p>
      <w:pPr>
        <w:spacing w:after="0" w:line="299" w:lineRule="exact"/>
        <w:rPr>
          <w:rFonts w:ascii="Courier New" w:cs="Courier New" w:eastAsia="Courier New" w:hAnsi="Courier New"/>
          <w:sz w:val="17"/>
          <w:szCs w:val="17"/>
          <w:color w:val="auto"/>
        </w:rPr>
      </w:pPr>
    </w:p>
    <w:p>
      <w:pPr>
        <w:ind w:left="520" w:right="1679" w:firstLine="6"/>
        <w:spacing w:after="0" w:line="269" w:lineRule="auto"/>
        <w:tabs>
          <w:tab w:leader="none" w:pos="9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including filing and applying for any accession, CCC and CIK filing codes (including filing SEC Form ID or any similar form), completing and executing any amendment or amendments thereto and timely filing any such form with the SEC and any stock exchange or similar regulatory authority; and</w:t>
      </w:r>
    </w:p>
    <w:p>
      <w:pPr>
        <w:spacing w:after="0" w:line="88" w:lineRule="exact"/>
        <w:rPr>
          <w:rFonts w:ascii="Courier New" w:cs="Courier New" w:eastAsia="Courier New" w:hAnsi="Courier New"/>
          <w:sz w:val="17"/>
          <w:szCs w:val="17"/>
          <w:color w:val="auto"/>
        </w:rPr>
      </w:pPr>
    </w:p>
    <w:p>
      <w:pPr>
        <w:ind w:left="940" w:hanging="414"/>
        <w:spacing w:after="0"/>
        <w:tabs>
          <w:tab w:leader="none" w:pos="9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39" w:lineRule="exact"/>
        <w:rPr>
          <w:rFonts w:ascii="Courier New" w:cs="Courier New" w:eastAsia="Courier New" w:hAnsi="Courier New"/>
          <w:sz w:val="17"/>
          <w:szCs w:val="17"/>
          <w:color w:val="auto"/>
        </w:rPr>
      </w:pPr>
    </w:p>
    <w:p>
      <w:pPr>
        <w:ind w:left="520" w:right="1679"/>
        <w:spacing w:after="0" w:line="26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819"/>
        <w:spacing w:after="0" w:line="373" w:lineRule="auto"/>
        <w:rPr>
          <w:sz w:val="20"/>
          <w:szCs w:val="20"/>
          <w:color w:val="auto"/>
        </w:rPr>
      </w:pPr>
      <w:r>
        <w:rPr>
          <w:rFonts w:ascii="Courier New" w:cs="Courier New" w:eastAsia="Courier New" w:hAnsi="Courier New"/>
          <w:sz w:val="17"/>
          <w:szCs w:val="17"/>
          <w:color w:val="auto"/>
        </w:rPr>
        <w:t>This Power of Attorney shall not be affected by the incapacity of the undersigned.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207"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 day of August, 2025.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Michael P. Hammond</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Michael P. Hammond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Director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00425" TargetMode="External"/><Relationship Id="rId14" Type="http://schemas.openxmlformats.org/officeDocument/2006/relationships/hyperlink" Target="http://www.sec.gov/cgi-bin/browse-edgar?action=getcompany&amp;CIK=0001140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2026-05-18T16:23:36Z</dcterms:created>
  <dcterms:modified xsi:type="dcterms:W3CDTF">2026-05-18T16:23:36Z</dcterms:modified>
</cp:coreProperties>
</file>