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Hess Carl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WILLIS GROUP LIMITED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LIME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7DQ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WILLIS TOWERS WATSON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71"/>
        <w:gridCol w:w="276"/>
        <w:gridCol w:w="906"/>
        <w:gridCol w:w="801"/>
        <w:gridCol w:w="134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8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Shares, nominal value $0.000304635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53.426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8,512.1156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Vested shares under the Willis Towers Watson Non-Qualified Stable Value Excess Plan for U.S. Employees settle for Ordinary Shares, nominal value $0.000304635 per share, on a 1:1 basis on the first business day of the month on which the NASDAQ Stock Market is open for business following the earlier of (i) the date that is 6 months after the reporting person's separation from service and (ii) the date that is 30 days after the reporting person's death.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share units credited to the participant's account by the Company pursuant to the Willis Towers Watson Non-Qualified Stable Value Excess Plan for U.S. Employees (the "Plan") accrual formula, net of the units acquired pursuant to the participant's contribution under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A. Hess by Gary Pang, Attorney-in-Fact (power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988" TargetMode="External"/><Relationship Id="rId5" Type="http://schemas.openxmlformats.org/officeDocument/2006/relationships/hyperlink" Target="http://www.sec.gov/cgi-bin/browse-edgar?action=getcompany&amp;CIK=000114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712</Words>
  <Characters>3853</Characters>
  <CharactersWithSpaces>4492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