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161290</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51"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176530</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88"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CURRENT REPORT</w:t>
      </w:r>
    </w:p>
    <w:p>
      <w:pPr>
        <w:spacing w:after="0" w:line="6"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38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ind w:left="3746"/>
        <w:spacing w:after="0"/>
        <w:rPr>
          <w:sz w:val="20"/>
          <w:szCs w:val="20"/>
          <w:color w:val="auto"/>
        </w:rPr>
      </w:pPr>
      <w:r>
        <w:rPr>
          <w:rFonts w:ascii="Arial" w:cs="Arial" w:eastAsia="Arial" w:hAnsi="Arial"/>
          <w:sz w:val="15"/>
          <w:szCs w:val="15"/>
          <w:b w:val="1"/>
          <w:bCs w:val="1"/>
          <w:color w:val="auto"/>
        </w:rPr>
        <w:t>Date of report (Date of earliest event reported): June 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173355</wp:posOffset>
            </wp:positionV>
            <wp:extent cx="1521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70" w:lineRule="exact"/>
        <w:rPr>
          <w:sz w:val="24"/>
          <w:szCs w:val="24"/>
          <w:color w:val="auto"/>
        </w:rPr>
      </w:pPr>
    </w:p>
    <w:p>
      <w:pPr>
        <w:ind w:left="2366"/>
        <w:spacing w:after="0"/>
        <w:rPr>
          <w:sz w:val="20"/>
          <w:szCs w:val="20"/>
          <w:color w:val="auto"/>
        </w:rPr>
      </w:pPr>
      <w:r>
        <w:rPr>
          <w:rFonts w:ascii="Arial" w:cs="Arial" w:eastAsia="Arial" w:hAnsi="Arial"/>
          <w:sz w:val="38"/>
          <w:szCs w:val="38"/>
          <w:b w:val="1"/>
          <w:bCs w:val="1"/>
          <w:color w:val="auto"/>
        </w:rPr>
        <w:t>WILLIS GROUP HOLDINGS LIMITED</w:t>
      </w:r>
    </w:p>
    <w:p>
      <w:pPr>
        <w:spacing w:after="0" w:line="35" w:lineRule="exact"/>
        <w:rPr>
          <w:sz w:val="24"/>
          <w:szCs w:val="24"/>
          <w:color w:val="auto"/>
        </w:rPr>
      </w:pPr>
    </w:p>
    <w:tbl>
      <w:tblPr>
        <w:tblLayout w:type="fixed"/>
        <w:tblInd w:w="2186" w:type="dxa"/>
        <w:tblCellMar>
          <w:top w:w="0" w:type="dxa"/>
          <w:left w:w="0" w:type="dxa"/>
          <w:bottom w:w="0" w:type="dxa"/>
          <w:right w:w="0" w:type="dxa"/>
        </w:tblCellMar>
      </w:tblPr>
      <w:tr>
        <w:trPr>
          <w:trHeight w:val="151"/>
        </w:trPr>
        <w:tc>
          <w:tcPr>
            <w:tcW w:w="1620" w:type="dxa"/>
            <w:vAlign w:val="bottom"/>
          </w:tcPr>
          <w:p>
            <w:pPr>
              <w:spacing w:after="0"/>
              <w:rPr>
                <w:sz w:val="13"/>
                <w:szCs w:val="13"/>
                <w:color w:val="auto"/>
              </w:rPr>
            </w:pPr>
          </w:p>
        </w:tc>
        <w:tc>
          <w:tcPr>
            <w:tcW w:w="5740" w:type="dxa"/>
            <w:vAlign w:val="bottom"/>
            <w:gridSpan w:val="3"/>
          </w:tcPr>
          <w:p>
            <w:pPr>
              <w:jc w:val="center"/>
              <w:ind w:right="1841"/>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r>
      <w:tr>
        <w:trPr>
          <w:trHeight w:val="236"/>
        </w:trPr>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620" w:type="dxa"/>
            <w:vAlign w:val="bottom"/>
          </w:tcPr>
          <w:p>
            <w:pPr>
              <w:spacing w:after="0"/>
              <w:rPr>
                <w:sz w:val="20"/>
                <w:szCs w:val="20"/>
                <w:color w:val="auto"/>
              </w:rPr>
            </w:pPr>
          </w:p>
        </w:tc>
      </w:tr>
      <w:tr>
        <w:trPr>
          <w:trHeight w:val="310"/>
        </w:trPr>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gridSpan w:val="2"/>
          </w:tcPr>
          <w:p>
            <w:pPr>
              <w:jc w:val="center"/>
              <w:ind w:right="2581"/>
              <w:spacing w:after="0"/>
              <w:rPr>
                <w:sz w:val="20"/>
                <w:szCs w:val="20"/>
                <w:color w:val="auto"/>
              </w:rPr>
            </w:pPr>
            <w:r>
              <w:rPr>
                <w:rFonts w:ascii="Arial" w:cs="Arial" w:eastAsia="Arial" w:hAnsi="Arial"/>
                <w:sz w:val="15"/>
                <w:szCs w:val="15"/>
                <w:b w:val="1"/>
                <w:bCs w:val="1"/>
                <w:color w:val="auto"/>
                <w:w w:val="95"/>
              </w:rPr>
              <w:t>Bermuda</w:t>
            </w:r>
          </w:p>
        </w:tc>
      </w:tr>
      <w:tr>
        <w:trPr>
          <w:trHeight w:val="151"/>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20" w:type="dxa"/>
            <w:vAlign w:val="bottom"/>
            <w:gridSpan w:val="2"/>
          </w:tcPr>
          <w:p>
            <w:pPr>
              <w:jc w:val="center"/>
              <w:ind w:right="2581"/>
              <w:spacing w:after="0"/>
              <w:rPr>
                <w:sz w:val="20"/>
                <w:szCs w:val="20"/>
                <w:color w:val="auto"/>
              </w:rPr>
            </w:pPr>
            <w:r>
              <w:rPr>
                <w:rFonts w:ascii="Arial" w:cs="Arial" w:eastAsia="Arial" w:hAnsi="Arial"/>
                <w:sz w:val="12"/>
                <w:szCs w:val="12"/>
                <w:b w:val="1"/>
                <w:bCs w:val="1"/>
                <w:color w:val="auto"/>
                <w:w w:val="90"/>
              </w:rPr>
              <w:t>(State or Other Jurisdiction of Incorporation)</w:t>
            </w:r>
          </w:p>
        </w:tc>
      </w:tr>
      <w:tr>
        <w:trPr>
          <w:trHeight w:val="343"/>
        </w:trPr>
        <w:tc>
          <w:tcPr>
            <w:tcW w:w="1620" w:type="dxa"/>
            <w:vAlign w:val="bottom"/>
          </w:tcPr>
          <w:p>
            <w:pPr>
              <w:jc w:val="right"/>
              <w:ind w:right="532"/>
              <w:spacing w:after="0"/>
              <w:rPr>
                <w:sz w:val="20"/>
                <w:szCs w:val="20"/>
                <w:color w:val="auto"/>
              </w:rPr>
            </w:pPr>
            <w:r>
              <w:rPr>
                <w:rFonts w:ascii="Arial" w:cs="Arial" w:eastAsia="Arial" w:hAnsi="Arial"/>
                <w:sz w:val="15"/>
                <w:szCs w:val="15"/>
                <w:b w:val="1"/>
                <w:bCs w:val="1"/>
                <w:color w:val="auto"/>
              </w:rPr>
              <w:t>001-16503</w:t>
            </w:r>
          </w:p>
        </w:tc>
        <w:tc>
          <w:tcPr>
            <w:tcW w:w="5740" w:type="dxa"/>
            <w:vAlign w:val="bottom"/>
            <w:gridSpan w:val="3"/>
          </w:tcPr>
          <w:p>
            <w:pPr>
              <w:jc w:val="right"/>
              <w:ind w:right="421"/>
              <w:spacing w:after="0"/>
              <w:rPr>
                <w:sz w:val="20"/>
                <w:szCs w:val="20"/>
                <w:color w:val="auto"/>
              </w:rPr>
            </w:pPr>
            <w:r>
              <w:rPr>
                <w:rFonts w:ascii="Arial" w:cs="Arial" w:eastAsia="Arial" w:hAnsi="Arial"/>
                <w:sz w:val="15"/>
                <w:szCs w:val="15"/>
                <w:b w:val="1"/>
                <w:bCs w:val="1"/>
                <w:color w:val="auto"/>
              </w:rPr>
              <w:t>98-0352587</w:t>
            </w:r>
          </w:p>
        </w:tc>
      </w:tr>
      <w:tr>
        <w:trPr>
          <w:trHeight w:val="151"/>
        </w:trPr>
        <w:tc>
          <w:tcPr>
            <w:tcW w:w="1620" w:type="dxa"/>
            <w:vAlign w:val="bottom"/>
          </w:tcPr>
          <w:p>
            <w:pPr>
              <w:jc w:val="center"/>
              <w:ind w:right="192"/>
              <w:spacing w:after="0"/>
              <w:rPr>
                <w:sz w:val="20"/>
                <w:szCs w:val="20"/>
                <w:color w:val="auto"/>
              </w:rPr>
            </w:pPr>
            <w:r>
              <w:rPr>
                <w:rFonts w:ascii="Arial" w:cs="Arial" w:eastAsia="Arial" w:hAnsi="Arial"/>
                <w:sz w:val="12"/>
                <w:szCs w:val="12"/>
                <w:b w:val="1"/>
                <w:bCs w:val="1"/>
                <w:color w:val="auto"/>
                <w:w w:val="89"/>
              </w:rPr>
              <w:t>(Commission File Number)</w:t>
            </w:r>
          </w:p>
        </w:tc>
        <w:tc>
          <w:tcPr>
            <w:tcW w:w="7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20" w:type="dxa"/>
            <w:vAlign w:val="bottom"/>
          </w:tcPr>
          <w:p>
            <w:pPr>
              <w:jc w:val="center"/>
              <w:ind w:left="861"/>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07"/>
        </w:trPr>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gridSpan w:val="2"/>
          </w:tcPr>
          <w:p>
            <w:pPr>
              <w:jc w:val="center"/>
              <w:ind w:right="2581"/>
              <w:spacing w:after="0"/>
              <w:rPr>
                <w:sz w:val="20"/>
                <w:szCs w:val="20"/>
                <w:color w:val="auto"/>
              </w:rPr>
            </w:pPr>
            <w:r>
              <w:rPr>
                <w:rFonts w:ascii="Arial" w:cs="Arial" w:eastAsia="Arial" w:hAnsi="Arial"/>
                <w:sz w:val="15"/>
                <w:szCs w:val="15"/>
                <w:b w:val="1"/>
                <w:bCs w:val="1"/>
                <w:color w:val="auto"/>
                <w:w w:val="94"/>
              </w:rPr>
              <w:t>c/o Willis Group Limited</w:t>
            </w:r>
          </w:p>
        </w:tc>
      </w:tr>
      <w:tr>
        <w:trPr>
          <w:trHeight w:val="188"/>
        </w:trPr>
        <w:tc>
          <w:tcPr>
            <w:tcW w:w="1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20" w:type="dxa"/>
            <w:vAlign w:val="bottom"/>
            <w:gridSpan w:val="2"/>
          </w:tcPr>
          <w:p>
            <w:pPr>
              <w:jc w:val="center"/>
              <w:ind w:right="2561"/>
              <w:spacing w:after="0"/>
              <w:rPr>
                <w:sz w:val="20"/>
                <w:szCs w:val="20"/>
                <w:color w:val="auto"/>
              </w:rPr>
            </w:pPr>
            <w:r>
              <w:rPr>
                <w:rFonts w:ascii="Arial" w:cs="Arial" w:eastAsia="Arial" w:hAnsi="Arial"/>
                <w:sz w:val="15"/>
                <w:szCs w:val="15"/>
                <w:b w:val="1"/>
                <w:bCs w:val="1"/>
                <w:color w:val="auto"/>
                <w:w w:val="94"/>
              </w:rPr>
              <w:t>Ten Trinity Square</w:t>
            </w:r>
          </w:p>
        </w:tc>
      </w:tr>
      <w:tr>
        <w:trPr>
          <w:trHeight w:val="188"/>
        </w:trPr>
        <w:tc>
          <w:tcPr>
            <w:tcW w:w="1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20" w:type="dxa"/>
            <w:vAlign w:val="bottom"/>
            <w:gridSpan w:val="2"/>
          </w:tcPr>
          <w:p>
            <w:pPr>
              <w:jc w:val="center"/>
              <w:ind w:right="2581"/>
              <w:spacing w:after="0"/>
              <w:rPr>
                <w:sz w:val="20"/>
                <w:szCs w:val="20"/>
                <w:color w:val="auto"/>
              </w:rPr>
            </w:pPr>
            <w:r>
              <w:rPr>
                <w:rFonts w:ascii="Arial" w:cs="Arial" w:eastAsia="Arial" w:hAnsi="Arial"/>
                <w:sz w:val="15"/>
                <w:szCs w:val="15"/>
                <w:b w:val="1"/>
                <w:bCs w:val="1"/>
                <w:color w:val="auto"/>
                <w:w w:val="95"/>
              </w:rPr>
              <w:t>London EC3P 3AX, England</w:t>
            </w:r>
          </w:p>
        </w:tc>
      </w:tr>
      <w:tr>
        <w:trPr>
          <w:trHeight w:val="151"/>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20" w:type="dxa"/>
            <w:vAlign w:val="bottom"/>
            <w:gridSpan w:val="2"/>
          </w:tcPr>
          <w:p>
            <w:pPr>
              <w:jc w:val="center"/>
              <w:ind w:right="2561"/>
              <w:spacing w:after="0"/>
              <w:rPr>
                <w:sz w:val="20"/>
                <w:szCs w:val="20"/>
                <w:color w:val="auto"/>
              </w:rPr>
            </w:pPr>
            <w:r>
              <w:rPr>
                <w:rFonts w:ascii="Arial" w:cs="Arial" w:eastAsia="Arial" w:hAnsi="Arial"/>
                <w:sz w:val="12"/>
                <w:szCs w:val="12"/>
                <w:b w:val="1"/>
                <w:bCs w:val="1"/>
                <w:color w:val="auto"/>
                <w:w w:val="87"/>
              </w:rPr>
              <w:t>(Address of Principal Executive Offices)</w:t>
            </w:r>
          </w:p>
        </w:tc>
      </w:tr>
      <w:tr>
        <w:trPr>
          <w:trHeight w:val="307"/>
        </w:trPr>
        <w:tc>
          <w:tcPr>
            <w:tcW w:w="1620" w:type="dxa"/>
            <w:vAlign w:val="bottom"/>
          </w:tcPr>
          <w:p>
            <w:pPr>
              <w:spacing w:after="0"/>
              <w:rPr>
                <w:sz w:val="24"/>
                <w:szCs w:val="24"/>
                <w:color w:val="auto"/>
              </w:rPr>
            </w:pPr>
          </w:p>
        </w:tc>
        <w:tc>
          <w:tcPr>
            <w:tcW w:w="3120" w:type="dxa"/>
            <w:vAlign w:val="bottom"/>
            <w:gridSpan w:val="2"/>
          </w:tcPr>
          <w:p>
            <w:pPr>
              <w:jc w:val="center"/>
              <w:ind w:left="634"/>
              <w:spacing w:after="0"/>
              <w:rPr>
                <w:sz w:val="20"/>
                <w:szCs w:val="20"/>
                <w:color w:val="auto"/>
              </w:rPr>
            </w:pPr>
            <w:r>
              <w:rPr>
                <w:rFonts w:ascii="Arial" w:cs="Arial" w:eastAsia="Arial" w:hAnsi="Arial"/>
                <w:sz w:val="15"/>
                <w:szCs w:val="15"/>
                <w:b w:val="1"/>
                <w:bCs w:val="1"/>
                <w:color w:val="auto"/>
                <w:w w:val="91"/>
              </w:rPr>
              <w:t>(44) (20) 7488-8111</w:t>
            </w:r>
          </w:p>
        </w:tc>
        <w:tc>
          <w:tcPr>
            <w:tcW w:w="2620" w:type="dxa"/>
            <w:vAlign w:val="bottom"/>
          </w:tcPr>
          <w:p>
            <w:pPr>
              <w:spacing w:after="0"/>
              <w:rPr>
                <w:sz w:val="24"/>
                <w:szCs w:val="24"/>
                <w:color w:val="auto"/>
              </w:rPr>
            </w:pPr>
          </w:p>
        </w:tc>
      </w:tr>
      <w:tr>
        <w:trPr>
          <w:trHeight w:val="151"/>
        </w:trPr>
        <w:tc>
          <w:tcPr>
            <w:tcW w:w="1620" w:type="dxa"/>
            <w:vAlign w:val="bottom"/>
          </w:tcPr>
          <w:p>
            <w:pPr>
              <w:spacing w:after="0"/>
              <w:rPr>
                <w:sz w:val="13"/>
                <w:szCs w:val="13"/>
                <w:color w:val="auto"/>
              </w:rPr>
            </w:pPr>
          </w:p>
        </w:tc>
        <w:tc>
          <w:tcPr>
            <w:tcW w:w="5740" w:type="dxa"/>
            <w:vAlign w:val="bottom"/>
            <w:gridSpan w:val="3"/>
          </w:tcPr>
          <w:p>
            <w:pPr>
              <w:jc w:val="center"/>
              <w:ind w:right="1861"/>
              <w:spacing w:after="0"/>
              <w:rPr>
                <w:sz w:val="20"/>
                <w:szCs w:val="20"/>
                <w:color w:val="auto"/>
              </w:rPr>
            </w:pPr>
            <w:r>
              <w:rPr>
                <w:rFonts w:ascii="Arial" w:cs="Arial" w:eastAsia="Arial" w:hAnsi="Arial"/>
                <w:sz w:val="12"/>
                <w:szCs w:val="12"/>
                <w:b w:val="1"/>
                <w:bCs w:val="1"/>
                <w:color w:val="auto"/>
                <w:w w:val="88"/>
              </w:rPr>
              <w:t>(Registrant’s Telephone Number, Including Area Code)</w:t>
            </w:r>
          </w:p>
        </w:tc>
      </w:tr>
      <w:tr>
        <w:trPr>
          <w:trHeight w:val="307"/>
        </w:trPr>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gridSpan w:val="2"/>
          </w:tcPr>
          <w:p>
            <w:pPr>
              <w:jc w:val="center"/>
              <w:ind w:right="2581"/>
              <w:spacing w:after="0"/>
              <w:rPr>
                <w:sz w:val="20"/>
                <w:szCs w:val="20"/>
                <w:color w:val="auto"/>
              </w:rPr>
            </w:pPr>
            <w:r>
              <w:rPr>
                <w:rFonts w:ascii="Arial" w:cs="Arial" w:eastAsia="Arial" w:hAnsi="Arial"/>
                <w:sz w:val="15"/>
                <w:szCs w:val="15"/>
                <w:b w:val="1"/>
                <w:bCs w:val="1"/>
                <w:color w:val="auto"/>
                <w:w w:val="93"/>
              </w:rPr>
              <w:t>Not Applicable</w:t>
            </w:r>
          </w:p>
        </w:tc>
      </w:tr>
      <w:tr>
        <w:trPr>
          <w:trHeight w:val="151"/>
        </w:trPr>
        <w:tc>
          <w:tcPr>
            <w:tcW w:w="1620" w:type="dxa"/>
            <w:vAlign w:val="bottom"/>
          </w:tcPr>
          <w:p>
            <w:pPr>
              <w:spacing w:after="0"/>
              <w:rPr>
                <w:sz w:val="13"/>
                <w:szCs w:val="13"/>
                <w:color w:val="auto"/>
              </w:rPr>
            </w:pPr>
          </w:p>
        </w:tc>
        <w:tc>
          <w:tcPr>
            <w:tcW w:w="5740" w:type="dxa"/>
            <w:vAlign w:val="bottom"/>
            <w:gridSpan w:val="3"/>
          </w:tcPr>
          <w:p>
            <w:pPr>
              <w:jc w:val="center"/>
              <w:ind w:right="1841"/>
              <w:spacing w:after="0"/>
              <w:rPr>
                <w:sz w:val="20"/>
                <w:szCs w:val="20"/>
                <w:color w:val="auto"/>
              </w:rPr>
            </w:pPr>
            <w:r>
              <w:rPr>
                <w:rFonts w:ascii="Arial" w:cs="Arial" w:eastAsia="Arial" w:hAnsi="Arial"/>
                <w:sz w:val="12"/>
                <w:szCs w:val="12"/>
                <w:b w:val="1"/>
                <w:bCs w:val="1"/>
                <w:color w:val="auto"/>
                <w:w w:val="89"/>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149860</wp:posOffset>
            </wp:positionV>
            <wp:extent cx="1521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62"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2" w:lineRule="exact"/>
        <w:rPr>
          <w:sz w:val="24"/>
          <w:szCs w:val="24"/>
          <w:color w:val="auto"/>
        </w:rPr>
      </w:pPr>
    </w:p>
    <w:p>
      <w:pPr>
        <w:ind w:left="446" w:hanging="446"/>
        <w:spacing w:after="0"/>
        <w:tabs>
          <w:tab w:leader="none" w:pos="446"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79" w:right="59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90" w:lineRule="exact"/>
        <w:rPr>
          <w:sz w:val="20"/>
          <w:szCs w:val="20"/>
          <w:color w:val="auto"/>
        </w:rPr>
      </w:pPr>
    </w:p>
    <w:p>
      <w:pPr>
        <w:ind w:right="40" w:firstLine="457"/>
        <w:spacing w:after="0" w:line="304" w:lineRule="auto"/>
        <w:rPr>
          <w:sz w:val="20"/>
          <w:szCs w:val="20"/>
          <w:color w:val="auto"/>
        </w:rPr>
      </w:pPr>
      <w:r>
        <w:rPr>
          <w:rFonts w:ascii="Arial" w:cs="Arial" w:eastAsia="Arial" w:hAnsi="Arial"/>
          <w:sz w:val="14"/>
          <w:szCs w:val="14"/>
          <w:color w:val="auto"/>
        </w:rPr>
        <w:t>On June 8, 2008, Willis Group Holdings Limited (“Willis”) and Hilb Rogal &amp; Hobbs Company (“HRH”) announced that they had entered into an Agreement and Plan of Merger, dated as of June 7, 2008 (the “Merger Agreement”), that provides, among other things, for HRH to be merged with a wholly-owned subsidiary of Willis (the “Merger”). The Merger Agreement has been approved by the Boards of Directors of Willis and HRH and is subject to customary closing conditions, including regulatory and HRH stockholder approvals.</w:t>
      </w:r>
    </w:p>
    <w:p>
      <w:pPr>
        <w:spacing w:after="0" w:line="93"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A copy of the press release is attached hereto as Exhibit 99.1. In addition, Willis and HRH provided supplemental information regarding the proposed Merger in connection with presentations to analysts and investors. A copy of the investor presentation is attached hereto as Exhibit 99.2.</w:t>
      </w:r>
    </w:p>
    <w:p>
      <w:pPr>
        <w:spacing w:after="0" w:line="99" w:lineRule="exact"/>
        <w:rPr>
          <w:sz w:val="20"/>
          <w:szCs w:val="20"/>
          <w:color w:val="auto"/>
        </w:rPr>
      </w:pPr>
    </w:p>
    <w:p>
      <w:pPr>
        <w:ind w:right="20" w:firstLine="457"/>
        <w:spacing w:after="0" w:line="296" w:lineRule="auto"/>
        <w:rPr>
          <w:sz w:val="20"/>
          <w:szCs w:val="20"/>
          <w:color w:val="auto"/>
        </w:rPr>
      </w:pPr>
      <w:r>
        <w:rPr>
          <w:rFonts w:ascii="Arial" w:cs="Arial" w:eastAsia="Arial" w:hAnsi="Arial"/>
          <w:sz w:val="14"/>
          <w:szCs w:val="14"/>
          <w:color w:val="auto"/>
        </w:rPr>
        <w:t>On June 8, 2008, a video recording of a presentation by Joseph J. Plumeri, the Chairman and Chief Executive Officer of Willis, regarding the Merger was made available on Willis’ website. A transcript of the presentation is attached as Exhibit 99.3 and is incorporated by reference herein. While every effort has been made to provide an accurate transcription, there may be typographical mistakes, inaudible statements, errors, omissions or inaccuracies in the transcript. The Company believes that none of these inaccuracies is material. A replay of the recorded presentation is available until about June 30, 2008 and can be accessed via Willis’ website (</w:t>
      </w:r>
      <w:r>
        <w:rPr>
          <w:rFonts w:ascii="Arial" w:cs="Arial" w:eastAsia="Arial" w:hAnsi="Arial"/>
          <w:sz w:val="14"/>
          <w:szCs w:val="14"/>
          <w:u w:val="single" w:color="auto"/>
          <w:color w:val="auto"/>
        </w:rPr>
        <w:t>http://www.willis.com</w:t>
      </w:r>
      <w:r>
        <w:rPr>
          <w:rFonts w:ascii="Arial" w:cs="Arial" w:eastAsia="Arial" w:hAnsi="Arial"/>
          <w:sz w:val="14"/>
          <w:szCs w:val="14"/>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This communication may contain forward-looking information regarding Willis Group Holdings Limited and Hilb Rogal &amp; Hobbs Company and the combined company after the completion of the transaction that are intended to be covered by the safe harbor for “forward-looking statements” provided by the Private Securities Litigation Reform Act of 1995. These statements include, but are not limited to, the potential benefits of the business combination transaction involving Willis and HRH, including future financial and operating results, the combined company’s plans, objectives, expectations and intentions and other statements that are not historical facts. Such statements are based on current beliefs, expectations, forecasts and assumptions of Willis’s and HRH’s management that are subject to risks and uncertainties which could cause actual outcomes and results to differ materially from these statements. Other risks and uncertainties relating to the proposed transaction include, but are not limited to, the satisfaction of conditions to closing, including receipt of shareholder, regulatory and other approvals on the proposed terms and schedule, the proposed transaction may not be consummated on the proposed terms and schedule, uncertainty of the expected financial performance of Willis following completion of the proposed transaction, Willis may not be able to achieve the expected cost savings, synergies and other strategic benefits as a result of the proposed transaction or may take longer to achieve the cost savings, synergies and benefits than expected, the integration of HRH with Willis’s operations may not be successful or may be materially delayed or may be more costly or difficult than expected, general industry and market conditions, general domestic and international economic conditions and governmental laws and regulations affecting domestic and foreign operations.</w:t>
      </w:r>
    </w:p>
    <w:p>
      <w:pPr>
        <w:spacing w:after="0" w:line="105"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For more information regarding other related risks, see Item 1A of Willis’s Annual Report on Form 10-K for the fiscal year ended December 31, 2007, and Item 1A of HRH’s Annual Report on Form 10-K for the fiscal year ended December 31, 2007, and similar sections of each company’s quarterly report on Form 10-Q for the fiscal quarter ended March 31, 2008. Copies of said 10-Ks and 10-Qs are available online at http://www.sec.gov or on request from the applicable company. You should not place undue reliance on forward-looking statements, which speak only as of the date of this communication. Except for 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60"/>
          </w:cols>
          <w:pgMar w:left="240" w:top="258" w:right="299" w:bottom="1440" w:gutter="0" w:footer="0" w:header="0"/>
        </w:sectPr>
      </w:pPr>
    </w:p>
    <w:bookmarkStart w:id="2" w:name="page3"/>
    <w:bookmarkEnd w:id="2"/>
    <w:p>
      <w:pPr>
        <w:ind w:left="6" w:right="10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obligation to disclose material information under the Federal securities laws, Willis and HRH undertake no obligation to release publicly any revisions to any forward-looking statements to reflect events or circumstances after the date of this communication.</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Important Merger Information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4"/>
          <w:szCs w:val="14"/>
          <w:color w:val="auto"/>
        </w:rPr>
        <w:t>In connection with the proposed transaction, Willis and HRH intend to file relevant materials with the Securities and Exchange Commission (“SEC”). Willis will file with the SEC a</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3"/>
          <w:szCs w:val="13"/>
          <w:color w:val="auto"/>
        </w:rPr>
        <w:t>Registration Statement on Form S-4 that includes a proxy statement of HRH that also constitutes a prospectus of Willis. HRH will mail the proxy statement/prospectus to its shareholders.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color w:val="auto"/>
        </w:rPr>
        <w:t>Investors are urged to read the proxy statement/prospectus regarding the proposed transaction when it becomes available, because it will contain important information. Investors will be</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5"/>
          <w:szCs w:val="15"/>
          <w:color w:val="auto"/>
        </w:rPr>
        <w:t>able to obtain a free copy of the proxy statement/prospectus, as well as other filings containing information about Willis and HRH without charge, at the SEC’s website</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http://www.sec.gov</w:t>
      </w:r>
      <w:r>
        <w:rPr>
          <w:rFonts w:ascii="Arial" w:cs="Arial" w:eastAsia="Arial" w:hAnsi="Arial"/>
          <w:sz w:val="14"/>
          <w:szCs w:val="14"/>
          <w:color w:val="auto"/>
        </w:rPr>
        <w:t>) once such documents are filed with the SEC. You may also obtain these documents, free of charge, from Willis’s website (</w:t>
      </w:r>
      <w:r>
        <w:rPr>
          <w:rFonts w:ascii="Arial" w:cs="Arial" w:eastAsia="Arial" w:hAnsi="Arial"/>
          <w:sz w:val="14"/>
          <w:szCs w:val="14"/>
          <w:u w:val="single" w:color="auto"/>
          <w:color w:val="auto"/>
        </w:rPr>
        <w:t>www.willis.com</w:t>
      </w:r>
      <w:r>
        <w:rPr>
          <w:rFonts w:ascii="Arial" w:cs="Arial" w:eastAsia="Arial" w:hAnsi="Arial"/>
          <w:sz w:val="14"/>
          <w:szCs w:val="14"/>
          <w:color w:val="auto"/>
        </w:rPr>
        <w:t>) under the tab “Investor</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5"/>
          <w:szCs w:val="15"/>
          <w:color w:val="auto"/>
        </w:rPr>
        <w:t>Relations” and then under the heading “Financial Reporting” then under the item “SEC Filings.” You may also obtain these documents, free of charge, from HRH’s website</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www.hrh.com</w:t>
      </w:r>
      <w:r>
        <w:rPr>
          <w:rFonts w:ascii="Arial" w:cs="Arial" w:eastAsia="Arial" w:hAnsi="Arial"/>
          <w:sz w:val="15"/>
          <w:szCs w:val="15"/>
          <w:color w:val="auto"/>
        </w:rPr>
        <w:t>) under the heading “Investor Relations” and then under the tab “SEC Filings.”</w:t>
      </w:r>
    </w:p>
    <w:p>
      <w:pPr>
        <w:spacing w:after="0" w:line="150" w:lineRule="exact"/>
        <w:rPr>
          <w:sz w:val="20"/>
          <w:szCs w:val="20"/>
          <w:color w:val="auto"/>
        </w:rPr>
      </w:pPr>
    </w:p>
    <w:p>
      <w:pPr>
        <w:ind w:left="6" w:right="100"/>
        <w:spacing w:after="0" w:line="290" w:lineRule="auto"/>
        <w:rPr>
          <w:sz w:val="20"/>
          <w:szCs w:val="20"/>
          <w:color w:val="auto"/>
        </w:rPr>
      </w:pPr>
      <w:r>
        <w:rPr>
          <w:rFonts w:ascii="Arial" w:cs="Arial" w:eastAsia="Arial" w:hAnsi="Arial"/>
          <w:sz w:val="14"/>
          <w:szCs w:val="14"/>
          <w:color w:val="auto"/>
        </w:rPr>
        <w:t>Willis, HRH and their respective directors, executive officers and other employees may be deemed to be participants in the solicitation of proxies from HRH shareholders in connection with the proposed transaction. Information about Willis’s directors and executive officers is available in Willis’s proxy statement, dated March 17, 2008. Information about HRH’s directors and executive officers is available in HRH’s proxy statement, dated March 31, 2008. Additional information about the interests of potential participants will be included in the prospectus/proxy statement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3"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86"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440" w:type="dxa"/>
            <w:vAlign w:val="bottom"/>
            <w:gridSpan w:val="2"/>
          </w:tcPr>
          <w:p>
            <w:pPr>
              <w:ind w:left="260"/>
              <w:spacing w:after="0"/>
              <w:rPr>
                <w:sz w:val="20"/>
                <w:szCs w:val="20"/>
                <w:color w:val="auto"/>
              </w:rPr>
            </w:pPr>
            <w:r>
              <w:rPr>
                <w:rFonts w:ascii="Arial" w:cs="Arial" w:eastAsia="Arial" w:hAnsi="Arial"/>
                <w:sz w:val="12"/>
                <w:szCs w:val="12"/>
                <w:b w:val="1"/>
                <w:bCs w:val="1"/>
                <w:color w:val="auto"/>
              </w:rPr>
              <w:t>Description</w:t>
            </w:r>
          </w:p>
        </w:tc>
      </w:tr>
      <w:tr>
        <w:trPr>
          <w:trHeight w:val="173"/>
        </w:trPr>
        <w:tc>
          <w:tcPr>
            <w:tcW w:w="4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88"/>
              </w:rPr>
              <w:t>Exhibit</w:t>
            </w:r>
          </w:p>
        </w:tc>
        <w:tc>
          <w:tcPr>
            <w:tcW w:w="580" w:type="dxa"/>
            <w:vAlign w:val="bottom"/>
          </w:tcPr>
          <w:p>
            <w:pPr>
              <w:jc w:val="right"/>
              <w:ind w:right="184"/>
              <w:spacing w:after="0"/>
              <w:rPr>
                <w:sz w:val="20"/>
                <w:szCs w:val="20"/>
                <w:color w:val="auto"/>
              </w:rPr>
            </w:pPr>
            <w:r>
              <w:rPr>
                <w:rFonts w:ascii="Arial" w:cs="Arial" w:eastAsia="Arial" w:hAnsi="Arial"/>
                <w:sz w:val="15"/>
                <w:szCs w:val="15"/>
                <w:color w:val="auto"/>
              </w:rPr>
              <w:t>99.1</w:t>
            </w:r>
          </w:p>
        </w:tc>
        <w:tc>
          <w:tcPr>
            <w:tcW w:w="260" w:type="dxa"/>
            <w:vAlign w:val="bottom"/>
          </w:tcPr>
          <w:p>
            <w:pPr>
              <w:spacing w:after="0"/>
              <w:rPr>
                <w:sz w:val="15"/>
                <w:szCs w:val="15"/>
                <w:color w:val="auto"/>
              </w:rPr>
            </w:pPr>
          </w:p>
        </w:tc>
        <w:tc>
          <w:tcPr>
            <w:tcW w:w="101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7"/>
              </w:rPr>
              <w:t>Press Release dated June 8, 2008 titled “Willis Group Holdings and Hilb Rogal &amp; Hobbs Agree To Combine in $2.1 Billion Transaction Aimed at Accelerating</w:t>
            </w:r>
          </w:p>
        </w:tc>
      </w:tr>
      <w:tr>
        <w:trPr>
          <w:trHeight w:val="194"/>
        </w:trPr>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40" w:type="dxa"/>
            <w:vAlign w:val="bottom"/>
            <w:gridSpan w:val="2"/>
          </w:tcPr>
          <w:p>
            <w:pPr>
              <w:ind w:left="260"/>
              <w:spacing w:after="0"/>
              <w:rPr>
                <w:sz w:val="20"/>
                <w:szCs w:val="20"/>
                <w:color w:val="auto"/>
              </w:rPr>
            </w:pPr>
            <w:r>
              <w:rPr>
                <w:rFonts w:ascii="Arial" w:cs="Arial" w:eastAsia="Arial" w:hAnsi="Arial"/>
                <w:sz w:val="15"/>
                <w:szCs w:val="15"/>
                <w:color w:val="auto"/>
              </w:rPr>
              <w:t>Growth and Increasing Client Value”</w:t>
            </w:r>
          </w:p>
        </w:tc>
      </w:tr>
      <w:tr>
        <w:trPr>
          <w:trHeight w:val="282"/>
        </w:trPr>
        <w:tc>
          <w:tcPr>
            <w:tcW w:w="1000" w:type="dxa"/>
            <w:vAlign w:val="bottom"/>
            <w:gridSpan w:val="2"/>
          </w:tcPr>
          <w:p>
            <w:pPr>
              <w:spacing w:after="0"/>
              <w:rPr>
                <w:sz w:val="20"/>
                <w:szCs w:val="20"/>
                <w:color w:val="auto"/>
              </w:rPr>
            </w:pPr>
            <w:r>
              <w:rPr>
                <w:rFonts w:ascii="Arial" w:cs="Arial" w:eastAsia="Arial" w:hAnsi="Arial"/>
                <w:sz w:val="15"/>
                <w:szCs w:val="15"/>
                <w:color w:val="auto"/>
              </w:rPr>
              <w:t>Exhibit 99.2</w:t>
            </w:r>
          </w:p>
        </w:tc>
        <w:tc>
          <w:tcPr>
            <w:tcW w:w="10440" w:type="dxa"/>
            <w:vAlign w:val="bottom"/>
            <w:gridSpan w:val="2"/>
          </w:tcPr>
          <w:p>
            <w:pPr>
              <w:ind w:left="260"/>
              <w:spacing w:after="0"/>
              <w:rPr>
                <w:sz w:val="20"/>
                <w:szCs w:val="20"/>
                <w:color w:val="auto"/>
              </w:rPr>
            </w:pPr>
            <w:r>
              <w:rPr>
                <w:rFonts w:ascii="Arial" w:cs="Arial" w:eastAsia="Arial" w:hAnsi="Arial"/>
                <w:sz w:val="15"/>
                <w:szCs w:val="15"/>
                <w:color w:val="auto"/>
              </w:rPr>
              <w:t>Investor Presentation</w:t>
            </w:r>
          </w:p>
        </w:tc>
      </w:tr>
      <w:tr>
        <w:trPr>
          <w:trHeight w:val="282"/>
        </w:trPr>
        <w:tc>
          <w:tcPr>
            <w:tcW w:w="1000" w:type="dxa"/>
            <w:vAlign w:val="bottom"/>
            <w:gridSpan w:val="2"/>
          </w:tcPr>
          <w:p>
            <w:pPr>
              <w:spacing w:after="0"/>
              <w:rPr>
                <w:sz w:val="20"/>
                <w:szCs w:val="20"/>
                <w:color w:val="auto"/>
              </w:rPr>
            </w:pPr>
            <w:r>
              <w:rPr>
                <w:rFonts w:ascii="Arial" w:cs="Arial" w:eastAsia="Arial" w:hAnsi="Arial"/>
                <w:sz w:val="15"/>
                <w:szCs w:val="15"/>
                <w:color w:val="auto"/>
              </w:rPr>
              <w:t>Exhibit 99.3</w:t>
            </w:r>
          </w:p>
        </w:tc>
        <w:tc>
          <w:tcPr>
            <w:tcW w:w="10440" w:type="dxa"/>
            <w:vAlign w:val="bottom"/>
            <w:gridSpan w:val="2"/>
          </w:tcPr>
          <w:p>
            <w:pPr>
              <w:ind w:left="260"/>
              <w:spacing w:after="0"/>
              <w:rPr>
                <w:sz w:val="20"/>
                <w:szCs w:val="20"/>
                <w:color w:val="auto"/>
              </w:rPr>
            </w:pPr>
            <w:r>
              <w:rPr>
                <w:rFonts w:ascii="Arial" w:cs="Arial" w:eastAsia="Arial" w:hAnsi="Arial"/>
                <w:sz w:val="15"/>
                <w:szCs w:val="15"/>
                <w:color w:val="auto"/>
              </w:rPr>
              <w:t>Transcript of Website Presentation, dated June 8, 2008</w:t>
            </w:r>
          </w:p>
        </w:tc>
      </w:tr>
      <w:tr>
        <w:trPr>
          <w:trHeight w:val="317"/>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40" w:type="dxa"/>
            <w:vAlign w:val="bottom"/>
            <w:gridSpan w:val="2"/>
          </w:tcPr>
          <w:p>
            <w:pPr>
              <w:jc w:val="right"/>
              <w:ind w:right="5604"/>
              <w:spacing w:after="0"/>
              <w:rPr>
                <w:sz w:val="20"/>
                <w:szCs w:val="20"/>
                <w:color w:val="auto"/>
              </w:rPr>
            </w:pPr>
            <w:r>
              <w:rPr>
                <w:rFonts w:ascii="Arial" w:cs="Arial" w:eastAsia="Arial" w:hAnsi="Arial"/>
                <w:sz w:val="15"/>
                <w:szCs w:val="15"/>
                <w:color w:val="auto"/>
              </w:rPr>
              <w:t>3</w:t>
            </w:r>
          </w:p>
        </w:tc>
      </w:tr>
    </w:tbl>
    <w:p>
      <w:pPr>
        <w:sectPr>
          <w:pgSz w:w="11900" w:h="16838" w:orient="portrait"/>
          <w:cols w:equalWidth="0" w:num="1">
            <w:col w:w="11446"/>
          </w:cols>
          <w:pgMar w:left="234" w:top="262" w:right="21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0"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Date: June 9, 2008</w:t>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WILLIS GROUP HOLDINGS LIMITED</w:t>
      </w:r>
    </w:p>
    <w:p>
      <w:pPr>
        <w:spacing w:after="0" w:line="207"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Adam G.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14605</wp:posOffset>
            </wp:positionV>
            <wp:extent cx="25209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0950" cy="7620"/>
                    </a:xfrm>
                    <a:prstGeom prst="rect">
                      <a:avLst/>
                    </a:prstGeom>
                    <a:noFill/>
                  </pic:spPr>
                </pic:pic>
              </a:graphicData>
            </a:graphic>
          </wp:anchor>
        </w:drawing>
      </w:r>
    </w:p>
    <w:p>
      <w:pPr>
        <w:spacing w:after="0" w:line="19"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5"/>
          <w:szCs w:val="15"/>
          <w:color w:val="auto"/>
        </w:rPr>
        <w:t>Name:</w:t>
        <w:tab/>
        <w:t>Adam G. Ciongoli</w:t>
      </w:r>
    </w:p>
    <w:p>
      <w:pPr>
        <w:spacing w:after="0" w:line="22"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General Counsel</w:t>
      </w:r>
    </w:p>
    <w:p>
      <w:pPr>
        <w:spacing w:after="0" w:line="13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880"/>
          </w:cols>
          <w:pgMar w:left="240" w:top="258"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8"/>
        </w:trPr>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80" w:type="dxa"/>
            <w:vAlign w:val="bottom"/>
          </w:tcPr>
          <w:p>
            <w:pPr>
              <w:ind w:left="3760"/>
              <w:spacing w:after="0"/>
              <w:rPr>
                <w:sz w:val="20"/>
                <w:szCs w:val="20"/>
                <w:color w:val="auto"/>
              </w:rPr>
            </w:pPr>
            <w:r>
              <w:rPr>
                <w:rFonts w:ascii="Arial" w:cs="Arial" w:eastAsia="Arial" w:hAnsi="Arial"/>
                <w:sz w:val="15"/>
                <w:szCs w:val="15"/>
                <w:b w:val="1"/>
                <w:bCs w:val="1"/>
                <w:color w:val="auto"/>
              </w:rPr>
              <w:t>EXHIBIT INDEX</w:t>
            </w:r>
          </w:p>
        </w:tc>
      </w:tr>
      <w:tr>
        <w:trPr>
          <w:trHeight w:val="318"/>
        </w:trPr>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08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73"/>
        </w:trPr>
        <w:tc>
          <w:tcPr>
            <w:tcW w:w="4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88"/>
              </w:rPr>
              <w:t>Exhibit</w:t>
            </w:r>
          </w:p>
        </w:tc>
        <w:tc>
          <w:tcPr>
            <w:tcW w:w="940" w:type="dxa"/>
            <w:vAlign w:val="bottom"/>
          </w:tcPr>
          <w:p>
            <w:pPr>
              <w:jc w:val="right"/>
              <w:ind w:right="544"/>
              <w:spacing w:after="0"/>
              <w:rPr>
                <w:sz w:val="20"/>
                <w:szCs w:val="20"/>
                <w:color w:val="auto"/>
              </w:rPr>
            </w:pPr>
            <w:r>
              <w:rPr>
                <w:rFonts w:ascii="Arial" w:cs="Arial" w:eastAsia="Arial" w:hAnsi="Arial"/>
                <w:sz w:val="15"/>
                <w:szCs w:val="15"/>
                <w:color w:val="auto"/>
              </w:rPr>
              <w:t>99.1</w:t>
            </w:r>
          </w:p>
        </w:tc>
        <w:tc>
          <w:tcPr>
            <w:tcW w:w="100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6"/>
              </w:rPr>
              <w:t>Press Release dated June 8, 2008 titled “Willis Group Holdings and Hilb Rogal &amp; Hobbs Agree To Combine in $2.1 Billion Transaction Aimed at Accelerating</w:t>
            </w:r>
          </w:p>
        </w:tc>
      </w:tr>
      <w:tr>
        <w:trPr>
          <w:trHeight w:val="194"/>
        </w:trPr>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Growth and Increasing Client Value”</w:t>
            </w:r>
          </w:p>
        </w:tc>
      </w:tr>
      <w:tr>
        <w:trPr>
          <w:trHeight w:val="282"/>
        </w:trPr>
        <w:tc>
          <w:tcPr>
            <w:tcW w:w="1360" w:type="dxa"/>
            <w:vAlign w:val="bottom"/>
            <w:gridSpan w:val="2"/>
          </w:tcPr>
          <w:p>
            <w:pPr>
              <w:spacing w:after="0"/>
              <w:rPr>
                <w:sz w:val="20"/>
                <w:szCs w:val="20"/>
                <w:color w:val="auto"/>
              </w:rPr>
            </w:pPr>
            <w:r>
              <w:rPr>
                <w:rFonts w:ascii="Arial" w:cs="Arial" w:eastAsia="Arial" w:hAnsi="Arial"/>
                <w:sz w:val="15"/>
                <w:szCs w:val="15"/>
                <w:color w:val="auto"/>
              </w:rPr>
              <w:t>Exhibit 99.2</w:t>
            </w:r>
          </w:p>
        </w:tc>
        <w:tc>
          <w:tcPr>
            <w:tcW w:w="10080" w:type="dxa"/>
            <w:vAlign w:val="bottom"/>
          </w:tcPr>
          <w:p>
            <w:pPr>
              <w:spacing w:after="0"/>
              <w:rPr>
                <w:sz w:val="20"/>
                <w:szCs w:val="20"/>
                <w:color w:val="auto"/>
              </w:rPr>
            </w:pPr>
            <w:r>
              <w:rPr>
                <w:rFonts w:ascii="Arial" w:cs="Arial" w:eastAsia="Arial" w:hAnsi="Arial"/>
                <w:sz w:val="15"/>
                <w:szCs w:val="15"/>
                <w:color w:val="auto"/>
              </w:rPr>
              <w:t>Investor Presentation</w:t>
            </w:r>
          </w:p>
        </w:tc>
      </w:tr>
      <w:tr>
        <w:trPr>
          <w:trHeight w:val="282"/>
        </w:trPr>
        <w:tc>
          <w:tcPr>
            <w:tcW w:w="1360" w:type="dxa"/>
            <w:vAlign w:val="bottom"/>
            <w:gridSpan w:val="2"/>
          </w:tcPr>
          <w:p>
            <w:pPr>
              <w:spacing w:after="0"/>
              <w:rPr>
                <w:sz w:val="20"/>
                <w:szCs w:val="20"/>
                <w:color w:val="auto"/>
              </w:rPr>
            </w:pPr>
            <w:r>
              <w:rPr>
                <w:rFonts w:ascii="Arial" w:cs="Arial" w:eastAsia="Arial" w:hAnsi="Arial"/>
                <w:sz w:val="15"/>
                <w:szCs w:val="15"/>
                <w:color w:val="auto"/>
              </w:rPr>
              <w:t>Exhibit 99.3</w:t>
            </w:r>
          </w:p>
        </w:tc>
        <w:tc>
          <w:tcPr>
            <w:tcW w:w="10080" w:type="dxa"/>
            <w:vAlign w:val="bottom"/>
          </w:tcPr>
          <w:p>
            <w:pPr>
              <w:spacing w:after="0"/>
              <w:rPr>
                <w:sz w:val="20"/>
                <w:szCs w:val="20"/>
                <w:color w:val="auto"/>
              </w:rPr>
            </w:pPr>
            <w:r>
              <w:rPr>
                <w:rFonts w:ascii="Arial" w:cs="Arial" w:eastAsia="Arial" w:hAnsi="Arial"/>
                <w:sz w:val="15"/>
                <w:szCs w:val="15"/>
                <w:color w:val="auto"/>
              </w:rPr>
              <w:t>Transcript of Website Presentation, dated June 8, 2008</w:t>
            </w:r>
          </w:p>
        </w:tc>
      </w:tr>
    </w:tbl>
    <w:p>
      <w:pPr>
        <w:spacing w:after="0"/>
        <w:rPr>
          <w:sz w:val="20"/>
          <w:szCs w:val="20"/>
          <w:color w:val="auto"/>
        </w:rPr>
        <w:sectPr>
          <w:pgSz w:w="11900" w:h="16838" w:orient="portrait"/>
          <w:cols w:equalWidth="0" w:num="1">
            <w:col w:w="11440"/>
          </w:cols>
          <w:pgMar w:left="240" w:top="258" w:right="2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5"/>
          <w:szCs w:val="15"/>
          <w:b w:val="1"/>
          <w:bCs w:val="1"/>
          <w:color w:val="auto"/>
        </w:rPr>
        <w:t>Exhibit 99.1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WILLIS GROUP HOLDINGS AND HILB ROGAL &amp; HOBBS AGREE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COMBINE IN $2.1 BILLION TRANSACTION AIMED AT ACCELERATING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GROWTH AND INCREASING CLIENT VALUE</w:t>
      </w:r>
    </w:p>
    <w:p>
      <w:pPr>
        <w:spacing w:after="0" w:line="182" w:lineRule="exact"/>
        <w:rPr>
          <w:sz w:val="20"/>
          <w:szCs w:val="20"/>
          <w:color w:val="auto"/>
        </w:rPr>
      </w:pPr>
    </w:p>
    <w:p>
      <w:pPr>
        <w:ind w:left="880" w:hanging="322"/>
        <w:spacing w:after="0"/>
        <w:tabs>
          <w:tab w:leader="none" w:pos="8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Doubles Willis North America Revenues and Strengthens Leadership in Attractive Growth Markets</w:t>
      </w:r>
    </w:p>
    <w:p>
      <w:pPr>
        <w:spacing w:after="0" w:line="85" w:lineRule="exact"/>
        <w:rPr>
          <w:rFonts w:ascii="Arial" w:cs="Arial" w:eastAsia="Arial" w:hAnsi="Arial"/>
          <w:sz w:val="15"/>
          <w:szCs w:val="15"/>
          <w:b w:val="1"/>
          <w:bCs w:val="1"/>
          <w:color w:val="auto"/>
        </w:rPr>
      </w:pPr>
    </w:p>
    <w:p>
      <w:pPr>
        <w:ind w:left="880" w:hanging="322"/>
        <w:spacing w:after="0"/>
        <w:tabs>
          <w:tab w:leader="none" w:pos="8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More Than Doubles Willis’s High-Growth Employee Benefits Business in North America; Adds Depth and Breadth to Other Key Practice Areas</w:t>
      </w:r>
    </w:p>
    <w:p>
      <w:pPr>
        <w:spacing w:after="0" w:line="85" w:lineRule="exact"/>
        <w:rPr>
          <w:rFonts w:ascii="Arial" w:cs="Arial" w:eastAsia="Arial" w:hAnsi="Arial"/>
          <w:sz w:val="15"/>
          <w:szCs w:val="15"/>
          <w:b w:val="1"/>
          <w:bCs w:val="1"/>
          <w:color w:val="auto"/>
        </w:rPr>
      </w:pPr>
    </w:p>
    <w:p>
      <w:pPr>
        <w:ind w:left="880" w:hanging="322"/>
        <w:spacing w:after="0"/>
        <w:tabs>
          <w:tab w:leader="none" w:pos="8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Strengthens Willis’s Middle Market Leadership and Reinforces Large Account Presence</w:t>
      </w:r>
    </w:p>
    <w:p>
      <w:pPr>
        <w:spacing w:after="0" w:line="85" w:lineRule="exact"/>
        <w:rPr>
          <w:rFonts w:ascii="Arial" w:cs="Arial" w:eastAsia="Arial" w:hAnsi="Arial"/>
          <w:sz w:val="15"/>
          <w:szCs w:val="15"/>
          <w:b w:val="1"/>
          <w:bCs w:val="1"/>
          <w:color w:val="auto"/>
        </w:rPr>
      </w:pPr>
    </w:p>
    <w:p>
      <w:pPr>
        <w:ind w:left="880" w:hanging="322"/>
        <w:spacing w:after="0"/>
        <w:tabs>
          <w:tab w:leader="none" w:pos="8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Purchase Price is 2.4x Estimated 2008 Revenues, Less Than 10x Estimated 2008 EBITDA</w:t>
      </w:r>
    </w:p>
    <w:p>
      <w:pPr>
        <w:spacing w:after="0" w:line="85" w:lineRule="exact"/>
        <w:rPr>
          <w:rFonts w:ascii="Arial" w:cs="Arial" w:eastAsia="Arial" w:hAnsi="Arial"/>
          <w:sz w:val="15"/>
          <w:szCs w:val="15"/>
          <w:b w:val="1"/>
          <w:bCs w:val="1"/>
          <w:color w:val="auto"/>
        </w:rPr>
      </w:pPr>
    </w:p>
    <w:p>
      <w:pPr>
        <w:ind w:left="880" w:hanging="322"/>
        <w:spacing w:after="0"/>
        <w:tabs>
          <w:tab w:leader="none" w:pos="8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Immediately Accretive to Willis Cash EPS; Accretive to GAAP EPS from Year Two</w:t>
      </w:r>
    </w:p>
    <w:p>
      <w:pPr>
        <w:spacing w:after="0" w:line="156"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color w:val="auto"/>
        </w:rPr>
        <w:t xml:space="preserve">New York, NY/Richmond, VA, June 8, 2008 </w:t>
      </w:r>
      <w:r>
        <w:rPr>
          <w:rFonts w:ascii="Arial" w:cs="Arial" w:eastAsia="Arial" w:hAnsi="Arial"/>
          <w:sz w:val="15"/>
          <w:szCs w:val="15"/>
          <w:color w:val="auto"/>
        </w:rPr>
        <w:t>– Willis Group Holdings Limited (NYSE: WSH), the global insurance broker, and Hilb Rogal &amp; Hobbs Company (NYSE:HRH), one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world’s largest insurance and risk management intermediaries, announced today that the companies will combine forces in a transaction that will double Willis’s North America revenues and strengthen its leadership in attractive growth markets.</w:t>
      </w:r>
    </w:p>
    <w:p>
      <w:pPr>
        <w:spacing w:after="0" w:line="107"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Under the terms of the definitive agreement, Willis will acquire all of the outstanding shares of common stock of HRH for $46.00 per share, 50 percent cash and 50 percent stock, subject to the collar described below, in a transaction having an equity value of approximately $1.7 billion and an enterprise value of approximately $2.1 billion. The transaction is expected to close in the fourth quarter of 2008 and is subject to customary closing conditions, including regulatory and HRH shareholder approval.</w:t>
      </w:r>
    </w:p>
    <w:p>
      <w:pPr>
        <w:spacing w:after="0" w:line="110" w:lineRule="exact"/>
        <w:rPr>
          <w:sz w:val="20"/>
          <w:szCs w:val="20"/>
          <w:color w:val="auto"/>
        </w:rPr>
      </w:pPr>
    </w:p>
    <w:p>
      <w:pPr>
        <w:jc w:val="both"/>
        <w:ind w:right="380"/>
        <w:spacing w:after="0" w:line="271" w:lineRule="auto"/>
        <w:rPr>
          <w:sz w:val="20"/>
          <w:szCs w:val="20"/>
          <w:color w:val="auto"/>
        </w:rPr>
      </w:pPr>
      <w:r>
        <w:rPr>
          <w:rFonts w:ascii="Arial" w:cs="Arial" w:eastAsia="Arial" w:hAnsi="Arial"/>
          <w:sz w:val="15"/>
          <w:szCs w:val="15"/>
          <w:color w:val="auto"/>
        </w:rPr>
        <w:t>The total purchase price of $2.1 billion represents a multiple of 2.4 times estimated 2008 HRH revenues and less than 10 times estimated 2008 EBITDA (defined as earnings before interest expense, income taxes, depreciation and amortization), including the assumption of an estimated $400 million of HRH debt. Annualized synergies are expected to amount to approximately $140 million by 2012. Over time, Willis plans to repurchase a majority of the shares issued in connection with the transaction under its previously approved $1 billion buyback plan.</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Willis expects the acquisition to be accretive to cash earnings per share from the close and to GAAP earnings per share from year two.</w:t>
      </w:r>
    </w:p>
    <w:p>
      <w:pPr>
        <w:sectPr>
          <w:pgSz w:w="11900" w:h="16838" w:orient="portrait"/>
          <w:cols w:equalWidth="0" w:num="1">
            <w:col w:w="11440"/>
          </w:cols>
          <w:pgMar w:left="240" w:top="128" w:right="2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Dramatically Increases Scale of North America Operations in Attractive Growth Areas</w:t>
      </w:r>
    </w:p>
    <w:p>
      <w:pPr>
        <w:spacing w:after="0" w:line="90"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Combining these complementary businesses will substantially improve Willis’s position in important areas in North America including California, Florida, Texas, Illinois, New York, Boston, New Jersey and Philadelphia, and in key business lines. In particular, it will more than double Willis’s North America revenues in Employee Benefits, an already strong area of expertise that Willis has targeted for further growth. In addition, it will further strengthen key practice areas including personal lines, real estate, health care, environmental, construction, complex property and executive risk.</w:t>
      </w:r>
    </w:p>
    <w:p>
      <w:pPr>
        <w:spacing w:after="0" w:line="114"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The transaction will greatly strengthen Willis’s leadership as a middle market broker and reinforce its large account presence. It also will further expand the range of Willis’s specialty expertise and complement Willis’s substantial presence in the London market. With a more robust and diversified platform, the combined company will deliver greatly enhanced value to clients.</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 xml:space="preserve">“This dynamic transaction is all about growth. It’s truly transformational for our North America business. Only HRH has the scale and fit in attractive growth areas to take our business to the next level,” said Joe Plumeri, Chairman and CEO of Willis. “HRH’s complementary strengths and geographic footprint will help us accelerate the performance momentum we’ve achieved through our </w:t>
      </w:r>
      <w:r>
        <w:rPr>
          <w:rFonts w:ascii="Arial" w:cs="Arial" w:eastAsia="Arial" w:hAnsi="Arial"/>
          <w:sz w:val="15"/>
          <w:szCs w:val="15"/>
          <w:b w:val="1"/>
          <w:bCs w:val="1"/>
          <w:i w:val="1"/>
          <w:iCs w:val="1"/>
          <w:color w:val="auto"/>
        </w:rPr>
        <w:t>Shaping our Future</w:t>
      </w:r>
      <w:r>
        <w:rPr>
          <w:rFonts w:ascii="Arial" w:cs="Arial" w:eastAsia="Arial" w:hAnsi="Arial"/>
          <w:sz w:val="15"/>
          <w:szCs w:val="15"/>
          <w:color w:val="auto"/>
        </w:rPr>
        <w:t xml:space="preserve"> strategy.</w:t>
      </w:r>
    </w:p>
    <w:p>
      <w:pPr>
        <w:spacing w:after="0" w:line="110"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“HRH has some of the best brokers in the world and I’m proud to have the opportunity to partner with people of this caliber,” Mr. Plumeri continued. “We share the same passion for excellence and there’s no limit to what we can accomplish together. It’s really the best of both worlds for our clients. We bring global reach and expertise, while HRH brings added talent and local market presence. All this should translate into significant value for our shareholders.”</w:t>
      </w:r>
    </w:p>
    <w:p>
      <w:pPr>
        <w:spacing w:after="0" w:line="110"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Martin L. Vaughan, III, Chairman and CEO of HRH, said the combination has the full support of the Board of Directors and the senior management team at HRH. “Our complementary footprint and Willis’s strength in important Global Specialties such as aerospace, energy, construction, marine, financial institutions and executive risk make our two companies an outstanding strategic fit,” Mr. Vaughan said. “We are already developing detailed plans to make sure that the integration process is smooth and seamless for our clients. We see exciting opportunities for our talented Associates to enhance their careers in a truly global enterprise.”</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F. Michael Crowley, President and Chief Operating Officer of HRH, said, “Joining these two great companies is a major step forward in achieving our shared vision of being the best insurance brokerage company in the world. Our companies share the same culture and values, in particular an absolute commitment to serving clients while at the same time providing an inspiring and rewarding environment for our Associates.”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80"/>
          </w:cols>
          <w:pgMar w:left="240" w:top="258" w:right="27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Boosts North America Operations to Nearly Half of Willis Worldwide Revenues</w:t>
      </w:r>
    </w:p>
    <w:p>
      <w:pPr>
        <w:spacing w:after="0" w:line="90"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 xml:space="preserve">The two companies have complementary strengths. In 2007, Willis Group delivered strong financial performance and demonstrated that its </w:t>
      </w:r>
      <w:r>
        <w:rPr>
          <w:rFonts w:ascii="Arial" w:cs="Arial" w:eastAsia="Arial" w:hAnsi="Arial"/>
          <w:sz w:val="15"/>
          <w:szCs w:val="15"/>
          <w:b w:val="1"/>
          <w:bCs w:val="1"/>
          <w:i w:val="1"/>
          <w:iCs w:val="1"/>
          <w:color w:val="auto"/>
        </w:rPr>
        <w:t>Shaping our Future</w:t>
      </w:r>
      <w:r>
        <w:rPr>
          <w:rFonts w:ascii="Arial" w:cs="Arial" w:eastAsia="Arial" w:hAnsi="Arial"/>
          <w:sz w:val="15"/>
          <w:szCs w:val="15"/>
          <w:color w:val="auto"/>
        </w:rPr>
        <w:t xml:space="preserve"> strategy – specific initiatives designed to drive profitable growth – is working. The company continues to have peer-leading operating margins and organic revenue growth. HRH is a leading middle market U.S.-based insurance broker with a large account portfolio. HRH generated $800 million of revenues in 2007, with $57 million from its international operations, which are based in London.</w:t>
      </w:r>
    </w:p>
    <w:p>
      <w:pPr>
        <w:spacing w:after="0" w:line="114" w:lineRule="exact"/>
        <w:rPr>
          <w:sz w:val="20"/>
          <w:szCs w:val="20"/>
          <w:color w:val="auto"/>
        </w:rPr>
      </w:pPr>
    </w:p>
    <w:p>
      <w:pPr>
        <w:jc w:val="both"/>
        <w:ind w:right="40"/>
        <w:spacing w:after="0" w:line="325" w:lineRule="auto"/>
        <w:rPr>
          <w:sz w:val="20"/>
          <w:szCs w:val="20"/>
          <w:color w:val="auto"/>
        </w:rPr>
      </w:pPr>
      <w:r>
        <w:rPr>
          <w:rFonts w:ascii="Arial" w:cs="Arial" w:eastAsia="Arial" w:hAnsi="Arial"/>
          <w:sz w:val="13"/>
          <w:szCs w:val="13"/>
          <w:color w:val="auto"/>
        </w:rPr>
        <w:t>The HRH footprint in the United States will result in a significant expansion of Willis’s already extensive retail platform. The combination will boost the contribution of North America to Willis’s overall revenues from 30 percent in 2007 to an estimated 45 percent on a pro forma basis, enhancing the mix among its North America, International and Global segments. It also will positively rebalance Willis’s business lines mix, with the Reinsurance businesses, which in 2007 accounted for 15 percent of Willis’s revenues, going to 12 percent of the revenues of the combined company. Meanwhile, the Employee Benefits business will increase from 10 percent of Willis’s current revenues to 13 percent of the revenues of the combined company.</w:t>
      </w:r>
    </w:p>
    <w:p>
      <w:pPr>
        <w:spacing w:after="0" w:line="83"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Willis estimates that the transaction will be 7 percent accretive to cash earnings per share in 2009, 10 percent in 2010 and 14 percent in 2011. It is expected to be 3 percent dilutive to GAAP earnings per share in 2009, 2 percent accretive in 2010 and 6 percent in 2011. It is the company’s intention to buy back over time the majority of the shares issued as part of the transaction.</w:t>
      </w:r>
    </w:p>
    <w:p>
      <w:pPr>
        <w:spacing w:after="0" w:line="110" w:lineRule="exact"/>
        <w:rPr>
          <w:sz w:val="20"/>
          <w:szCs w:val="20"/>
          <w:color w:val="auto"/>
        </w:rPr>
      </w:pPr>
    </w:p>
    <w:p>
      <w:pPr>
        <w:ind w:right="460"/>
        <w:spacing w:after="0" w:line="276" w:lineRule="auto"/>
        <w:rPr>
          <w:sz w:val="20"/>
          <w:szCs w:val="20"/>
          <w:color w:val="auto"/>
        </w:rPr>
      </w:pPr>
      <w:r>
        <w:rPr>
          <w:rFonts w:ascii="Arial" w:cs="Arial" w:eastAsia="Arial" w:hAnsi="Arial"/>
          <w:sz w:val="15"/>
          <w:szCs w:val="15"/>
          <w:color w:val="auto"/>
        </w:rPr>
        <w:t xml:space="preserve">Overall annualized cost savings and efficiencies are expected to amount to approximately $100 million pre-tax ($70 million after tax) – 50 percent realized in 2009 and 100 percent realized in 2010. Implementation of </w:t>
      </w:r>
      <w:r>
        <w:rPr>
          <w:rFonts w:ascii="Arial" w:cs="Arial" w:eastAsia="Arial" w:hAnsi="Arial"/>
          <w:sz w:val="15"/>
          <w:szCs w:val="15"/>
          <w:b w:val="1"/>
          <w:bCs w:val="1"/>
          <w:i w:val="1"/>
          <w:iCs w:val="1"/>
          <w:color w:val="auto"/>
        </w:rPr>
        <w:t>Shaping our Future</w:t>
      </w:r>
      <w:r>
        <w:rPr>
          <w:rFonts w:ascii="Arial" w:cs="Arial" w:eastAsia="Arial" w:hAnsi="Arial"/>
          <w:sz w:val="15"/>
          <w:szCs w:val="15"/>
          <w:color w:val="auto"/>
        </w:rPr>
        <w:t xml:space="preserve"> initiatives is expected to drive further efficiencies of $40 million pre-tax annualized by 2012. Willis expects to incur approximately $75 million in one-time costs related to the transaction.</w:t>
      </w:r>
    </w:p>
    <w:p>
      <w:pPr>
        <w:spacing w:after="0" w:line="110" w:lineRule="exact"/>
        <w:rPr>
          <w:sz w:val="20"/>
          <w:szCs w:val="20"/>
          <w:color w:val="auto"/>
        </w:rPr>
      </w:pPr>
    </w:p>
    <w:p>
      <w:pPr>
        <w:ind w:right="460"/>
        <w:spacing w:after="0" w:line="291" w:lineRule="auto"/>
        <w:rPr>
          <w:sz w:val="20"/>
          <w:szCs w:val="20"/>
          <w:color w:val="auto"/>
        </w:rPr>
      </w:pPr>
      <w:r>
        <w:rPr>
          <w:rFonts w:ascii="Arial" w:cs="Arial" w:eastAsia="Arial" w:hAnsi="Arial"/>
          <w:sz w:val="15"/>
          <w:szCs w:val="15"/>
          <w:color w:val="auto"/>
        </w:rPr>
        <w:t>Consistent with the agreement that Willis reached last week with the New York State Attorney General and New York State Department of Insurance – and in keeping with Willis’s commitment not to accept contingent compensation – Willis will phase out HRH’s contingent commissions over three years.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the Agreement</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Under the terms of the definitive agreement, HRH shareholders can elect to receive the merger consideration in the form of cash or shares of common stock of Willis, subject to proration in order to ensure that the cash and stock elections each represent 50 percent of the total consideration paid. In addition, the cash consideration is subject to increase to an amount above 50 percent of the total consideration (i) if the stock election represents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0"/>
          </w:cols>
          <w:pgMar w:left="240" w:top="258" w:right="219" w:bottom="1440" w:gutter="0" w:footer="0" w:header="0"/>
        </w:sectPr>
      </w:pPr>
    </w:p>
    <w:bookmarkStart w:id="8" w:name="page9"/>
    <w:bookmarkEnd w:id="8"/>
    <w:p>
      <w:pPr>
        <w:ind w:right="32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less than 50 percent of the total consideration or (ii) to ensure that the number of shares issued by Willis does not exceed 19.9 percent of the total number of shares outstanding at the effective time of the transaction.</w:t>
      </w:r>
    </w:p>
    <w:p>
      <w:pPr>
        <w:spacing w:after="0" w:line="99"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The definitive agreement includes a collar. Half of the value of the per-share merger consideration, or $23.00 (representing the cash component), is always fixed – whether a shareholder elects to receive cash or stock. The remaining value of the merger consideration (representing the stock component) is calculated based on the average trading price of Willis common stock during the ten-day period ending two days prior to the closing date. If the average Willis stock price during this period is greater than or equal to $31.46 or less than or equal to $40.04, the stock component is fixed and is equal to $23.00. Outside this collar, the exchange ratio is fixed (based on the exchange ratio that would result at the top and bottom of the collar) and, therefore, the value of the stock component may be worth more or less than $23.00, based on the value of Willis common stock, again, whether or not a shareholder elects to receive cash or stock. Depending on the Willis stock price, the merger consideration will either be an amount greater or less than $46.00 per share. However, the value of the merger consideration (based on the ten-day pre-closing Willis trading price) will be the same regardless of whether HRH shareholders elect to receive stock or cash.</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Banc of America Securities LLC is acting as financial advisor and Weil Gotshal &amp; Manges LLP is acting as legal advisor to Willis in connection with the transaction. In addition, Banc of America Securities LLC, as Lead Arranger and Book Manager, and Bank of America N.A., as Administrative Agent, have provided committed financing for the transaction. HRH has been advised by Sandler O’Neill &amp; Partners, L.P., and Wachtell, Lipton, Rosen &amp; Katz.</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Combined Company to be Named Willis HRH in North America</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The new organization in North America will be renamed Willis HRH upon completion of the transaction. It will be led by an Office of the Chairman including Don Bailey as Chairman and CEO, F. Michael Crowley as President and Martin L. Vaughan, III, as Vice Chairman of Willis Group Holdings.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Detailed plans are being developed to combine the two companies. The integration will be led by Mr. Bailey, effective immediately, to ensure a smooth and seamless process.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Teleconference Call:</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On Monday, June 9, 2008, at 10:00 A.M. Eastern Time, Joe Plumeri, Chairman and Chief Executive Officer of Willis Group Holdings Limited, and Martin L. Vaughan, III, Chairman and Chief Executive Officer of Hilb Rogal &amp; Hobbs Company, will hold a joint conference call to discuss today’s announcement with analysts. Interested parties may access the conference call by calling (888) 790-3153 (domestic) or +1 (517) 308-9033 (international) with a passcode of “Willis.” Media and individuals will be in a listen-only mode. Participants are asked to call in a few minutes prior to the call in order to register for the event.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40" w:top="262" w:right="279" w:bottom="1440" w:gutter="0" w:footer="0" w:header="0"/>
        </w:sectPr>
      </w:pPr>
    </w:p>
    <w:bookmarkStart w:id="9" w:name="page10"/>
    <w:bookmarkEnd w:id="9"/>
    <w:p>
      <w:pPr>
        <w:ind w:right="10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Interested parties may also access the conference call in a listen-only mode via the Internet. To do so they should go to the “Investor Relations” section of the Willis and HRH websites at www.willis.com and www.hrh.com, respectively, and register for the call. A replay of the call will be available through July 09, 2008 at 11:59 PM Eastern Time, by calling (888) 568-0743 (domestic) or + 1 (402) 998-0215 (international) with no passcode, or by accessing the websites.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Willis Group Holdings Limited</w:t>
      </w:r>
    </w:p>
    <w:p>
      <w:pPr>
        <w:spacing w:after="0" w:line="90" w:lineRule="exact"/>
        <w:rPr>
          <w:sz w:val="20"/>
          <w:szCs w:val="20"/>
          <w:color w:val="auto"/>
        </w:rPr>
      </w:pPr>
    </w:p>
    <w:p>
      <w:pPr>
        <w:ind w:right="460"/>
        <w:spacing w:after="0" w:line="304" w:lineRule="auto"/>
        <w:rPr>
          <w:sz w:val="20"/>
          <w:szCs w:val="20"/>
          <w:color w:val="auto"/>
        </w:rPr>
      </w:pPr>
      <w:r>
        <w:rPr>
          <w:rFonts w:ascii="Arial" w:cs="Arial" w:eastAsia="Arial" w:hAnsi="Arial"/>
          <w:sz w:val="14"/>
          <w:szCs w:val="14"/>
          <w:color w:val="auto"/>
        </w:rPr>
        <w:t xml:space="preserve">Willis Group Holdings Limited is a leading global insurance broker, developing and delivering professional insurance, reinsurance, risk management, financial and human resource consulting and actuarial services to corporations, public entities and institutions around the world. Willis has more than 300 offices in some 100 countries, with a global team of approximately 16,000 Associates serving clients in some 190 countries. Additional information on Willis may be found at </w:t>
      </w:r>
      <w:r>
        <w:rPr>
          <w:rFonts w:ascii="Arial" w:cs="Arial" w:eastAsia="Arial" w:hAnsi="Arial"/>
          <w:sz w:val="14"/>
          <w:szCs w:val="14"/>
          <w:u w:val="single" w:color="auto"/>
          <w:color w:val="auto"/>
        </w:rPr>
        <w:t>www.willis.com.</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Hilb Rogal &amp; Hobbs Company</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 xml:space="preserve">Hilb Rogal &amp; Hobbs Company (HRH) is the eighth largest insurance and risk management intermediary in the United States, with over 140 offices throughout the United States and the world. HRH helps clients manage their risks in property and casualty, employee benefits, professional liability and other areas of specialized exposure. In addition, HRH offers a full range of personal and corporate financial products and services. HRH is focused on understanding our clients’ businesses, employees and risks, as well as the insurance and financial markets, so that we can develop insurance, risk management and employee benefits solutions that best fit their needs. The company’s common stock is traded on the New York Stock Exchange, symbol HRH. More information about HRH may be found at </w:t>
      </w:r>
      <w:r>
        <w:rPr>
          <w:rFonts w:ascii="Arial" w:cs="Arial" w:eastAsia="Arial" w:hAnsi="Arial"/>
          <w:sz w:val="15"/>
          <w:szCs w:val="15"/>
          <w:u w:val="single" w:color="auto"/>
          <w:color w:val="auto"/>
        </w:rPr>
        <w:t>www.hrh.com</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00" w:type="dxa"/>
            <w:vAlign w:val="bottom"/>
          </w:tcPr>
          <w:p>
            <w:pPr>
              <w:spacing w:after="0"/>
              <w:rPr>
                <w:sz w:val="13"/>
                <w:szCs w:val="13"/>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Media</w:t>
            </w:r>
          </w:p>
        </w:tc>
        <w:tc>
          <w:tcPr>
            <w:tcW w:w="2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Investors</w:t>
            </w:r>
          </w:p>
        </w:tc>
      </w:tr>
      <w:tr>
        <w:trPr>
          <w:trHeight w:val="268"/>
        </w:trPr>
        <w:tc>
          <w:tcPr>
            <w:tcW w:w="2300" w:type="dxa"/>
            <w:vAlign w:val="bottom"/>
          </w:tcPr>
          <w:p>
            <w:pPr>
              <w:spacing w:after="0"/>
              <w:rPr>
                <w:sz w:val="20"/>
                <w:szCs w:val="20"/>
                <w:color w:val="auto"/>
              </w:rPr>
            </w:pPr>
            <w:r>
              <w:rPr>
                <w:rFonts w:ascii="Arial" w:cs="Arial" w:eastAsia="Arial" w:hAnsi="Arial"/>
                <w:sz w:val="15"/>
                <w:szCs w:val="15"/>
                <w:b w:val="1"/>
                <w:bCs w:val="1"/>
                <w:color w:val="auto"/>
              </w:rPr>
              <w:t>Willis:</w:t>
            </w:r>
          </w:p>
        </w:tc>
        <w:tc>
          <w:tcPr>
            <w:tcW w:w="2540" w:type="dxa"/>
            <w:vAlign w:val="bottom"/>
            <w:gridSpan w:val="4"/>
          </w:tcPr>
          <w:p>
            <w:pPr>
              <w:spacing w:after="0"/>
              <w:rPr>
                <w:sz w:val="20"/>
                <w:szCs w:val="20"/>
                <w:color w:val="auto"/>
              </w:rPr>
            </w:pPr>
            <w:r>
              <w:rPr>
                <w:rFonts w:ascii="Arial" w:cs="Arial" w:eastAsia="Arial" w:hAnsi="Arial"/>
                <w:sz w:val="15"/>
                <w:szCs w:val="15"/>
                <w:color w:val="auto"/>
              </w:rPr>
              <w:t>Valerie Di Maria</w:t>
            </w:r>
          </w:p>
        </w:tc>
        <w:tc>
          <w:tcPr>
            <w:tcW w:w="2020" w:type="dxa"/>
            <w:vAlign w:val="bottom"/>
          </w:tcPr>
          <w:p>
            <w:pPr>
              <w:spacing w:after="0"/>
              <w:rPr>
                <w:sz w:val="23"/>
                <w:szCs w:val="23"/>
                <w:color w:val="auto"/>
              </w:rPr>
            </w:pPr>
          </w:p>
        </w:tc>
        <w:tc>
          <w:tcPr>
            <w:tcW w:w="4580" w:type="dxa"/>
            <w:vAlign w:val="bottom"/>
            <w:gridSpan w:val="4"/>
          </w:tcPr>
          <w:p>
            <w:pPr>
              <w:ind w:left="220"/>
              <w:spacing w:after="0"/>
              <w:rPr>
                <w:sz w:val="20"/>
                <w:szCs w:val="20"/>
                <w:color w:val="auto"/>
              </w:rPr>
            </w:pPr>
            <w:r>
              <w:rPr>
                <w:rFonts w:ascii="Arial" w:cs="Arial" w:eastAsia="Arial" w:hAnsi="Arial"/>
                <w:sz w:val="15"/>
                <w:szCs w:val="15"/>
                <w:color w:val="auto"/>
              </w:rPr>
              <w:t>Kerry K. Calaiaro</w:t>
            </w:r>
          </w:p>
        </w:tc>
      </w:tr>
      <w:tr>
        <w:trPr>
          <w:trHeight w:val="188"/>
        </w:trPr>
        <w:tc>
          <w:tcPr>
            <w:tcW w:w="23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(212) 915-8272</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20" w:type="dxa"/>
            <w:vAlign w:val="bottom"/>
            <w:gridSpan w:val="3"/>
          </w:tcPr>
          <w:p>
            <w:pPr>
              <w:ind w:left="2240"/>
              <w:spacing w:after="0"/>
              <w:rPr>
                <w:sz w:val="20"/>
                <w:szCs w:val="20"/>
                <w:color w:val="auto"/>
              </w:rPr>
            </w:pPr>
            <w:r>
              <w:rPr>
                <w:rFonts w:ascii="Arial" w:cs="Arial" w:eastAsia="Arial" w:hAnsi="Arial"/>
                <w:sz w:val="15"/>
                <w:szCs w:val="15"/>
                <w:color w:val="auto"/>
              </w:rPr>
              <w:t>(212) 915-8084</w:t>
            </w:r>
          </w:p>
        </w:tc>
        <w:tc>
          <w:tcPr>
            <w:tcW w:w="1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60"/>
        </w:trPr>
        <w:tc>
          <w:tcPr>
            <w:tcW w:w="2300" w:type="dxa"/>
            <w:vAlign w:val="bottom"/>
          </w:tcPr>
          <w:p>
            <w:pPr>
              <w:spacing w:after="0"/>
              <w:rPr>
                <w:sz w:val="13"/>
                <w:szCs w:val="13"/>
                <w:color w:val="auto"/>
              </w:rPr>
            </w:pPr>
          </w:p>
        </w:tc>
        <w:tc>
          <w:tcPr>
            <w:tcW w:w="1700" w:type="dxa"/>
            <w:vAlign w:val="bottom"/>
            <w:gridSpan w:val="3"/>
          </w:tcPr>
          <w:p>
            <w:pPr>
              <w:spacing w:after="0" w:line="160" w:lineRule="exact"/>
              <w:rPr>
                <w:sz w:val="20"/>
                <w:szCs w:val="20"/>
                <w:color w:val="auto"/>
              </w:rPr>
            </w:pPr>
            <w:r>
              <w:rPr>
                <w:rFonts w:ascii="Arial" w:cs="Arial" w:eastAsia="Arial" w:hAnsi="Arial"/>
                <w:sz w:val="15"/>
                <w:szCs w:val="15"/>
                <w:color w:val="auto"/>
                <w:w w:val="94"/>
              </w:rPr>
              <w:t>valerie.dimaria@willis.com</w:t>
            </w: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60" w:type="dxa"/>
            <w:vAlign w:val="bottom"/>
            <w:gridSpan w:val="3"/>
          </w:tcPr>
          <w:p>
            <w:pPr>
              <w:spacing w:after="0" w:line="160" w:lineRule="exact"/>
              <w:rPr>
                <w:sz w:val="20"/>
                <w:szCs w:val="20"/>
                <w:color w:val="auto"/>
              </w:rPr>
            </w:pPr>
            <w:r>
              <w:rPr>
                <w:rFonts w:ascii="Arial" w:cs="Arial" w:eastAsia="Arial" w:hAnsi="Arial"/>
                <w:sz w:val="15"/>
                <w:szCs w:val="15"/>
                <w:color w:val="auto"/>
              </w:rPr>
              <w:t>kerry.calaiaro@willis.com</w:t>
            </w:r>
          </w:p>
        </w:tc>
      </w:tr>
      <w:tr>
        <w:trPr>
          <w:trHeight w:val="384"/>
        </w:trPr>
        <w:tc>
          <w:tcPr>
            <w:tcW w:w="2300" w:type="dxa"/>
            <w:vAlign w:val="bottom"/>
          </w:tcPr>
          <w:p>
            <w:pPr>
              <w:spacing w:after="0"/>
              <w:rPr>
                <w:sz w:val="24"/>
                <w:szCs w:val="24"/>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Ingrid Bosch</w:t>
            </w:r>
          </w:p>
        </w:tc>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r>
      <w:tr>
        <w:trPr>
          <w:trHeight w:val="188"/>
        </w:trPr>
        <w:tc>
          <w:tcPr>
            <w:tcW w:w="230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Arial" w:cs="Arial" w:eastAsia="Arial" w:hAnsi="Arial"/>
                <w:sz w:val="15"/>
                <w:szCs w:val="15"/>
                <w:color w:val="auto"/>
              </w:rPr>
              <w:t>+44 (0) 20 3124 7182</w:t>
            </w: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60"/>
        </w:trPr>
        <w:tc>
          <w:tcPr>
            <w:tcW w:w="2300" w:type="dxa"/>
            <w:vAlign w:val="bottom"/>
          </w:tcPr>
          <w:p>
            <w:pPr>
              <w:spacing w:after="0"/>
              <w:rPr>
                <w:sz w:val="13"/>
                <w:szCs w:val="13"/>
                <w:color w:val="auto"/>
              </w:rPr>
            </w:pPr>
          </w:p>
        </w:tc>
        <w:tc>
          <w:tcPr>
            <w:tcW w:w="1180" w:type="dxa"/>
            <w:vAlign w:val="bottom"/>
            <w:tcBorders>
              <w:bottom w:val="single" w:sz="8" w:color="auto"/>
            </w:tcBorders>
          </w:tcPr>
          <w:p>
            <w:pPr>
              <w:spacing w:after="0" w:line="160" w:lineRule="exact"/>
              <w:rPr>
                <w:sz w:val="20"/>
                <w:szCs w:val="20"/>
                <w:color w:val="auto"/>
              </w:rPr>
            </w:pPr>
            <w:r>
              <w:rPr>
                <w:rFonts w:ascii="Arial" w:cs="Arial" w:eastAsia="Arial" w:hAnsi="Arial"/>
                <w:sz w:val="15"/>
                <w:szCs w:val="15"/>
                <w:color w:val="auto"/>
                <w:w w:val="94"/>
              </w:rPr>
              <w:t>boschi@willis.com</w:t>
            </w:r>
          </w:p>
        </w:tc>
        <w:tc>
          <w:tcPr>
            <w:tcW w:w="1360" w:type="dxa"/>
            <w:vAlign w:val="bottom"/>
            <w:gridSpan w:val="3"/>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384"/>
        </w:trPr>
        <w:tc>
          <w:tcPr>
            <w:tcW w:w="2300" w:type="dxa"/>
            <w:vAlign w:val="bottom"/>
          </w:tcPr>
          <w:p>
            <w:pPr>
              <w:spacing w:after="0"/>
              <w:rPr>
                <w:sz w:val="20"/>
                <w:szCs w:val="20"/>
                <w:color w:val="auto"/>
              </w:rPr>
            </w:pPr>
            <w:r>
              <w:rPr>
                <w:rFonts w:ascii="Arial" w:cs="Arial" w:eastAsia="Arial" w:hAnsi="Arial"/>
                <w:sz w:val="15"/>
                <w:szCs w:val="15"/>
                <w:b w:val="1"/>
                <w:bCs w:val="1"/>
                <w:color w:val="auto"/>
              </w:rPr>
              <w:t>HRH:</w:t>
            </w:r>
          </w:p>
        </w:tc>
        <w:tc>
          <w:tcPr>
            <w:tcW w:w="2540" w:type="dxa"/>
            <w:vAlign w:val="bottom"/>
            <w:gridSpan w:val="4"/>
          </w:tcPr>
          <w:p>
            <w:pPr>
              <w:spacing w:after="0"/>
              <w:rPr>
                <w:sz w:val="20"/>
                <w:szCs w:val="20"/>
                <w:color w:val="auto"/>
              </w:rPr>
            </w:pPr>
            <w:r>
              <w:rPr>
                <w:rFonts w:ascii="Arial" w:cs="Arial" w:eastAsia="Arial" w:hAnsi="Arial"/>
                <w:sz w:val="15"/>
                <w:szCs w:val="15"/>
                <w:color w:val="auto"/>
              </w:rPr>
              <w:t>Liz Cougot</w:t>
            </w:r>
          </w:p>
        </w:tc>
        <w:tc>
          <w:tcPr>
            <w:tcW w:w="2020" w:type="dxa"/>
            <w:vAlign w:val="bottom"/>
          </w:tcPr>
          <w:p>
            <w:pPr>
              <w:spacing w:after="0"/>
              <w:rPr>
                <w:sz w:val="24"/>
                <w:szCs w:val="24"/>
                <w:color w:val="auto"/>
              </w:rPr>
            </w:pPr>
          </w:p>
        </w:tc>
        <w:tc>
          <w:tcPr>
            <w:tcW w:w="4580" w:type="dxa"/>
            <w:vAlign w:val="bottom"/>
            <w:gridSpan w:val="4"/>
          </w:tcPr>
          <w:p>
            <w:pPr>
              <w:ind w:left="220"/>
              <w:spacing w:after="0"/>
              <w:rPr>
                <w:sz w:val="20"/>
                <w:szCs w:val="20"/>
                <w:color w:val="auto"/>
              </w:rPr>
            </w:pPr>
            <w:r>
              <w:rPr>
                <w:rFonts w:ascii="Arial" w:cs="Arial" w:eastAsia="Arial" w:hAnsi="Arial"/>
                <w:sz w:val="15"/>
                <w:szCs w:val="15"/>
                <w:color w:val="auto"/>
              </w:rPr>
              <w:t>Carolyn Jones</w:t>
            </w:r>
          </w:p>
        </w:tc>
      </w:tr>
      <w:tr>
        <w:trPr>
          <w:trHeight w:val="188"/>
        </w:trPr>
        <w:tc>
          <w:tcPr>
            <w:tcW w:w="23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(804) 747-3120</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20" w:type="dxa"/>
            <w:vAlign w:val="bottom"/>
            <w:gridSpan w:val="3"/>
          </w:tcPr>
          <w:p>
            <w:pPr>
              <w:ind w:left="2240"/>
              <w:spacing w:after="0"/>
              <w:rPr>
                <w:sz w:val="20"/>
                <w:szCs w:val="20"/>
                <w:color w:val="auto"/>
              </w:rPr>
            </w:pPr>
            <w:r>
              <w:rPr>
                <w:rFonts w:ascii="Arial" w:cs="Arial" w:eastAsia="Arial" w:hAnsi="Arial"/>
                <w:sz w:val="15"/>
                <w:szCs w:val="15"/>
                <w:color w:val="auto"/>
              </w:rPr>
              <w:t>(804) 747-3108</w:t>
            </w:r>
          </w:p>
        </w:tc>
        <w:tc>
          <w:tcPr>
            <w:tcW w:w="1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60"/>
        </w:trPr>
        <w:tc>
          <w:tcPr>
            <w:tcW w:w="2300" w:type="dxa"/>
            <w:vAlign w:val="bottom"/>
          </w:tcPr>
          <w:p>
            <w:pPr>
              <w:spacing w:after="0"/>
              <w:rPr>
                <w:sz w:val="13"/>
                <w:szCs w:val="13"/>
                <w:color w:val="auto"/>
              </w:rPr>
            </w:pPr>
          </w:p>
        </w:tc>
        <w:tc>
          <w:tcPr>
            <w:tcW w:w="2540" w:type="dxa"/>
            <w:vAlign w:val="bottom"/>
            <w:gridSpan w:val="4"/>
          </w:tcPr>
          <w:p>
            <w:pPr>
              <w:spacing w:after="0" w:line="160" w:lineRule="exact"/>
              <w:rPr>
                <w:sz w:val="20"/>
                <w:szCs w:val="20"/>
                <w:color w:val="auto"/>
              </w:rPr>
            </w:pPr>
            <w:r>
              <w:rPr>
                <w:rFonts w:ascii="Arial" w:cs="Arial" w:eastAsia="Arial" w:hAnsi="Arial"/>
                <w:sz w:val="15"/>
                <w:szCs w:val="15"/>
                <w:color w:val="auto"/>
              </w:rPr>
              <w:t>liz.cougot@hrh.com</w:t>
            </w:r>
          </w:p>
        </w:tc>
        <w:tc>
          <w:tcPr>
            <w:tcW w:w="2020" w:type="dxa"/>
            <w:vAlign w:val="bottom"/>
          </w:tcPr>
          <w:p>
            <w:pPr>
              <w:spacing w:after="0"/>
              <w:rPr>
                <w:sz w:val="13"/>
                <w:szCs w:val="13"/>
                <w:color w:val="auto"/>
              </w:rPr>
            </w:pPr>
          </w:p>
        </w:tc>
        <w:tc>
          <w:tcPr>
            <w:tcW w:w="4580" w:type="dxa"/>
            <w:vAlign w:val="bottom"/>
            <w:gridSpan w:val="4"/>
          </w:tcPr>
          <w:p>
            <w:pPr>
              <w:ind w:left="220"/>
              <w:spacing w:after="0" w:line="160" w:lineRule="exact"/>
              <w:rPr>
                <w:sz w:val="20"/>
                <w:szCs w:val="20"/>
                <w:color w:val="auto"/>
              </w:rPr>
            </w:pPr>
            <w:r>
              <w:rPr>
                <w:rFonts w:ascii="Arial" w:cs="Arial" w:eastAsia="Arial" w:hAnsi="Arial"/>
                <w:sz w:val="15"/>
                <w:szCs w:val="15"/>
                <w:color w:val="auto"/>
              </w:rPr>
              <w:t>carolyn.jones@hrh.com</w:t>
            </w:r>
          </w:p>
        </w:tc>
      </w:tr>
      <w:tr>
        <w:trPr>
          <w:trHeight w:val="331"/>
        </w:trPr>
        <w:tc>
          <w:tcPr>
            <w:tcW w:w="23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tcPr>
          <w:p>
            <w:pPr>
              <w:jc w:val="right"/>
              <w:ind w:right="1024"/>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40"/>
          </w:cols>
          <w:pgMar w:left="240" w:top="262" w:right="2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Forward Looking Statements</w:t>
      </w:r>
    </w:p>
    <w:p>
      <w:pPr>
        <w:spacing w:after="0" w:line="90"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This communication may contain forward-looking information regarding Willis Group Holdings Limited and Hilb Rogal &amp; Hobbs Company and the combined company after the completion of the transaction that are intended to be covered by the safe harbor for “forward-looking statements” provided by the Private Securities Litigation Reform Act of 1995. These statements include, but are not limited to, the potential benefits of the business combination transaction involving Willis and HRH, including future financial and operating results, the combined company’s plans, objectives, expectations and intentions and other statements that are not historical facts. Such statements are based on current beliefs, expectations, forecasts and assumptions of Willis’s and HRH’s management that are subject to risks and uncertainties which could cause actual outcomes and results to differ materially from these statements. Other risks and uncertainties relating to the proposed transaction include, but are not limited to, the satisfaction of conditions to closing, including receipt of shareholder, regulatory and other approvals on the proposed terms and schedule, the proposed transaction may not be consummated on the proposed terms and schedule, uncertainty of the expected financial performance of Willis following completion of the proposed transaction, Willis may not be able to achieve the expected cost savings, synergies and other strategic benefits as a result of the proposed transaction or may take longer to achieve the cost savings, synergies and benefits than expected, the integration of HRH with Willis’s operations may not be successful or may be materially delayed or may be more costly or difficult than expected, general industry and market conditions, general domestic and international economic conditions and governmental laws and regulations affecting domestic and foreign operations.</w:t>
      </w:r>
    </w:p>
    <w:p>
      <w:pPr>
        <w:spacing w:after="0" w:line="105"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For more information regarding other related risks, see Item 1A of Willis’s Annual Report on Form 10-K for the fiscal year ended December 31, 2007, and Item 1A of HRH’s Annual Report on Form 10-K for the fiscal year ended December 31, 2007, and similar sections of each company’s quarterly report on Form 10-Q for the fiscal quarter ended March 31, 2008. Copies of said 10-Ks and 10-Qs are available online at http://www.sec.gov or on request from the applicable company. You should not place undue reliance on forward-looking statements, which speak only as of the date of this communication. Except for any obligation to disclose material information under the Federal securities laws, Willis and HRH undertake no obligation to release publicly any revisions to any forward-looking statements to reflect events or circumstances after the date of this communication.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Important Merger Information</w:t>
      </w:r>
    </w:p>
    <w:p>
      <w:pPr>
        <w:spacing w:after="0" w:line="86" w:lineRule="exact"/>
        <w:rPr>
          <w:sz w:val="20"/>
          <w:szCs w:val="20"/>
          <w:color w:val="auto"/>
        </w:rPr>
      </w:pPr>
    </w:p>
    <w:p>
      <w:pPr>
        <w:ind w:right="360"/>
        <w:spacing w:after="0" w:line="291" w:lineRule="auto"/>
        <w:rPr>
          <w:sz w:val="20"/>
          <w:szCs w:val="20"/>
          <w:color w:val="auto"/>
        </w:rPr>
      </w:pPr>
      <w:r>
        <w:rPr>
          <w:rFonts w:ascii="Arial" w:cs="Arial" w:eastAsia="Arial" w:hAnsi="Arial"/>
          <w:sz w:val="15"/>
          <w:szCs w:val="15"/>
          <w:color w:val="auto"/>
        </w:rPr>
        <w:t>In connection with the proposed transaction, Willis and HRH intend to file relevant materials with the Securities and Exchange Commission (“SEC”). Willis will file with the SEC a Registration Statement on Form S-4 that includes a proxy statement of HRH that also constitutes a prospectus of Willis. HRH will mail the proxy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40" w:top="258" w:right="25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statement/prospectus to its shareholders. Investors are urged to read the proxy statement/prospectus regarding the proposed transaction when it becomes available, because it will contain important information. Investors will be able to obtain a free copy of the proxy statement/prospectus, as well as other filings containing information about Willis and HRH without charge, at the SEC’s website (</w:t>
      </w:r>
      <w:r>
        <w:rPr>
          <w:rFonts w:ascii="Arial" w:cs="Arial" w:eastAsia="Arial" w:hAnsi="Arial"/>
          <w:sz w:val="15"/>
          <w:szCs w:val="15"/>
          <w:u w:val="single" w:color="auto"/>
          <w:color w:val="auto"/>
        </w:rPr>
        <w:t>http://www.sec.gov</w:t>
      </w:r>
      <w:r>
        <w:rPr>
          <w:rFonts w:ascii="Arial" w:cs="Arial" w:eastAsia="Arial" w:hAnsi="Arial"/>
          <w:sz w:val="15"/>
          <w:szCs w:val="15"/>
          <w:color w:val="auto"/>
        </w:rPr>
        <w:t>) once such documents are filed with the SEC. You may also obtain these documents, free of charge, from Willis’s website (</w:t>
      </w:r>
      <w:r>
        <w:rPr>
          <w:rFonts w:ascii="Arial" w:cs="Arial" w:eastAsia="Arial" w:hAnsi="Arial"/>
          <w:sz w:val="15"/>
          <w:szCs w:val="15"/>
          <w:u w:val="single" w:color="auto"/>
          <w:color w:val="auto"/>
        </w:rPr>
        <w:t>www.willis.com</w:t>
      </w:r>
      <w:r>
        <w:rPr>
          <w:rFonts w:ascii="Arial" w:cs="Arial" w:eastAsia="Arial" w:hAnsi="Arial"/>
          <w:sz w:val="15"/>
          <w:szCs w:val="15"/>
          <w:color w:val="auto"/>
        </w:rPr>
        <w:t>) under the tab “Investor Relations” and then under the heading “Financial Reporting” then under the item “SEC Filings.” You may also obtain these documents, free of charge, from HRH’s website (</w:t>
      </w:r>
      <w:r>
        <w:rPr>
          <w:rFonts w:ascii="Arial" w:cs="Arial" w:eastAsia="Arial" w:hAnsi="Arial"/>
          <w:sz w:val="15"/>
          <w:szCs w:val="15"/>
          <w:u w:val="single" w:color="auto"/>
          <w:color w:val="auto"/>
        </w:rPr>
        <w:t>www.hrh.com</w:t>
      </w:r>
      <w:r>
        <w:rPr>
          <w:rFonts w:ascii="Arial" w:cs="Arial" w:eastAsia="Arial" w:hAnsi="Arial"/>
          <w:sz w:val="15"/>
          <w:szCs w:val="15"/>
          <w:color w:val="auto"/>
        </w:rPr>
        <w:t>) under the heading “Investor Relations” and then under the tab “SEC Filings.”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Willis, HRH and their respective directors, executive officers and other employees may be deemed to be participants in the solicitation of proxies from HRH shareholders in connection with the proposed transaction. Information about Willis’s directors and executive officers is available in Willis’s proxy statement, dated March 17, 2008. Information about HRH’s directors and executive officers is available in HRH’s proxy statement, dated March 31, 2008. Additional information about the interests of potential participants will be included in the prospectus/proxy statement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00"/>
          </w:cols>
          <w:pgMar w:left="240" w:top="262" w:right="259" w:bottom="1440" w:gutter="0" w:footer="0" w:header="0"/>
        </w:sectPr>
      </w:pPr>
    </w:p>
    <w:bookmarkStart w:id="12" w:name="page13"/>
    <w:bookmarkEnd w:id="12"/>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222885</wp:posOffset>
            </wp:positionH>
            <wp:positionV relativeFrom="page">
              <wp:posOffset>163195</wp:posOffset>
            </wp:positionV>
            <wp:extent cx="7167245" cy="537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5377180"/>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000"/>
        <w:spacing w:after="0" w:line="223" w:lineRule="auto"/>
        <w:rPr>
          <w:sz w:val="20"/>
          <w:szCs w:val="20"/>
          <w:color w:val="auto"/>
        </w:rPr>
      </w:pPr>
      <w:r>
        <w:rPr>
          <w:rFonts w:ascii="Arial" w:cs="Arial" w:eastAsia="Arial" w:hAnsi="Arial"/>
          <w:sz w:val="60"/>
          <w:szCs w:val="60"/>
          <w:color w:val="132647"/>
        </w:rPr>
        <w:t>Willis Group Holdings acquires</w:t>
      </w:r>
    </w:p>
    <w:p>
      <w:pPr>
        <w:spacing w:after="0"/>
        <w:rPr>
          <w:sz w:val="20"/>
          <w:szCs w:val="20"/>
          <w:color w:val="auto"/>
        </w:rPr>
      </w:pPr>
      <w:r>
        <w:rPr>
          <w:rFonts w:ascii="Arial" w:cs="Arial" w:eastAsia="Arial" w:hAnsi="Arial"/>
          <w:sz w:val="60"/>
          <w:szCs w:val="60"/>
          <w:color w:val="132647"/>
        </w:rPr>
        <w:t>Hilb Rogal &amp; Hobbs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60"/>
          <w:szCs w:val="60"/>
          <w:color w:val="132647"/>
        </w:rPr>
        <w:t>June 9, 2008</w:t>
      </w:r>
    </w:p>
    <w:p>
      <w:pPr>
        <w:sectPr>
          <w:pgSz w:w="11900" w:h="16838" w:orient="portrait"/>
          <w:cols w:equalWidth="0" w:num="1">
            <w:col w:w="10720"/>
          </w:cols>
          <w:pgMar w:left="680" w:top="392" w:right="499" w:bottom="1440" w:gutter="0" w:footer="0" w:header="0"/>
        </w:sectPr>
      </w:pPr>
    </w:p>
    <w:bookmarkStart w:id="13" w:name="page14"/>
    <w:bookmarkEnd w:id="13"/>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 w:right="360"/>
        <w:spacing w:after="0" w:line="256" w:lineRule="auto"/>
        <w:rPr>
          <w:sz w:val="20"/>
          <w:szCs w:val="20"/>
          <w:color w:val="auto"/>
        </w:rPr>
      </w:pPr>
      <w:r>
        <w:rPr>
          <w:rFonts w:ascii="Arial" w:cs="Arial" w:eastAsia="Arial" w:hAnsi="Arial"/>
          <w:sz w:val="20"/>
          <w:szCs w:val="20"/>
          <w:color w:val="132647"/>
        </w:rPr>
        <w:t>This presentation contains certain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included in this presentation that address activities, events or developments that we expect or anticipate may occur in the future, including such things as our outlook and guidance regarding future operating margin and adjusted Earnings Per Share, future capital expenditures, expected growth in commissions and fees, business strategies, competitive strengths, goals, the anticipated benefits of new initiatives, growth of our business and operations, plans, and references to future successes are forward-looking statements. Also, when we use the words such as “anticipate”, “believe”, “estimate”, “expect”, “intend”, “plan”, “probably”, or similar expressions, we are making forward-looking statements.</w:t>
      </w:r>
    </w:p>
    <w:p>
      <w:pPr>
        <w:spacing w:after="0" w:line="3" w:lineRule="exact"/>
        <w:rPr>
          <w:sz w:val="20"/>
          <w:szCs w:val="20"/>
          <w:color w:val="auto"/>
        </w:rPr>
      </w:pPr>
    </w:p>
    <w:p>
      <w:pPr>
        <w:ind w:left="500" w:right="100"/>
        <w:spacing w:after="0" w:line="254" w:lineRule="auto"/>
        <w:rPr>
          <w:sz w:val="20"/>
          <w:szCs w:val="20"/>
          <w:color w:val="auto"/>
        </w:rPr>
      </w:pPr>
      <w:r>
        <w:rPr>
          <w:rFonts w:ascii="Arial" w:cs="Arial" w:eastAsia="Arial" w:hAnsi="Arial"/>
          <w:sz w:val="20"/>
          <w:szCs w:val="20"/>
          <w:color w:val="132647"/>
        </w:rPr>
        <w:t>Many risks and uncertainties may impact the matters addressed in these forward-looking statements. Many possible events or factors could affect our future financial results and performance, including those set forth in the Appendix and in the Risk Factors section of our Annual Report on Form 10-K filed on February 27, 2008. These could cause our results or performance to differ materially from those we express in our forward-looking statements. Although we believe that the assumptions underlying our forward-looking statements are reasonable, any of these assumptions, and therefore also the forward-looking statements based on these assumptions, could themselves prove to be inaccurate. In light of the significant uncertainties inherent in the forward-looking statements included in this presentation, our inclusion of this information is not a representation or guarantee by us that our objectives and plans will be achieved.</w:t>
      </w:r>
    </w:p>
    <w:p>
      <w:pPr>
        <w:spacing w:after="0" w:line="6" w:lineRule="exact"/>
        <w:rPr>
          <w:sz w:val="20"/>
          <w:szCs w:val="20"/>
          <w:color w:val="auto"/>
        </w:rPr>
      </w:pPr>
    </w:p>
    <w:p>
      <w:pPr>
        <w:ind w:left="500" w:right="180"/>
        <w:spacing w:after="0" w:line="261" w:lineRule="auto"/>
        <w:rPr>
          <w:sz w:val="20"/>
          <w:szCs w:val="20"/>
          <w:color w:val="auto"/>
        </w:rPr>
      </w:pPr>
      <w:r>
        <w:rPr>
          <w:rFonts w:ascii="Arial" w:cs="Arial" w:eastAsia="Arial" w:hAnsi="Arial"/>
          <w:sz w:val="20"/>
          <w:szCs w:val="20"/>
          <w:color w:val="132647"/>
        </w:rPr>
        <w:t>Our forward-looking statements speak only as of the date made and we will not update these forward-looking statements unless the securities laws require us to do so. In light of these risks, uncertainties and assumptions, the forward-looking events discussed in this presentation may not occur, and we caution you against unduly relying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374650</wp:posOffset>
            </wp:positionV>
            <wp:extent cx="6302375" cy="320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2375"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1</w:t>
      </w:r>
    </w:p>
    <w:p>
      <w:pPr>
        <w:sectPr>
          <w:pgSz w:w="11900" w:h="16838" w:orient="portrait"/>
          <w:cols w:equalWidth="0" w:num="1">
            <w:col w:w="10260"/>
          </w:cols>
          <w:pgMar w:left="660" w:top="162" w:right="979" w:bottom="1440" w:gutter="0" w:footer="0" w:header="0"/>
        </w:sectPr>
      </w:pPr>
    </w:p>
    <w:bookmarkStart w:id="14" w:name="page15"/>
    <w:bookmarkEnd w:id="14"/>
    <w:p>
      <w:pPr>
        <w:ind w:right="3800"/>
        <w:spacing w:after="0" w:line="268" w:lineRule="auto"/>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Willis Group Holdings acquires Hilb Rogal &amp; Hobbs</w:t>
      </w:r>
    </w:p>
    <w:p>
      <w:pPr>
        <w:spacing w:after="0" w:line="200" w:lineRule="exact"/>
        <w:rPr>
          <w:sz w:val="20"/>
          <w:szCs w:val="20"/>
          <w:color w:val="auto"/>
        </w:rPr>
      </w:pPr>
    </w:p>
    <w:p>
      <w:pPr>
        <w:spacing w:after="0" w:line="376"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132647"/>
        </w:rPr>
        <w:t>Transaction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-149860</wp:posOffset>
            </wp:positionV>
            <wp:extent cx="6294755" cy="4057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4755" cy="4057650"/>
                    </a:xfrm>
                    <a:prstGeom prst="rect">
                      <a:avLst/>
                    </a:prstGeom>
                    <a:noFill/>
                  </pic:spPr>
                </pic:pic>
              </a:graphicData>
            </a:graphic>
          </wp:anchor>
        </w:drawing>
      </w:r>
    </w:p>
    <w:p>
      <w:pPr>
        <w:spacing w:after="0" w:line="260"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132647"/>
        </w:rPr>
        <w:t>Willis and HRH overviews</w:t>
      </w:r>
    </w:p>
    <w:p>
      <w:pPr>
        <w:spacing w:after="0" w:line="291"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132647"/>
        </w:rPr>
        <w:t>Pro forma combined company</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132647"/>
        </w:rPr>
        <w:t>Financial summary</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132647"/>
        </w:rPr>
        <w:t>Summary</w:t>
      </w:r>
    </w:p>
    <w:p>
      <w:pPr>
        <w:spacing w:after="0" w:line="291"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132647"/>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2</w:t>
      </w:r>
    </w:p>
    <w:p>
      <w:pPr>
        <w:sectPr>
          <w:pgSz w:w="11900" w:h="16838" w:orient="portrait"/>
          <w:cols w:equalWidth="0" w:num="1">
            <w:col w:w="10260"/>
          </w:cols>
          <w:pgMar w:left="660" w:top="174" w:right="9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59"/>
          <w:szCs w:val="59"/>
          <w:color w:val="132647"/>
        </w:rPr>
        <w:t>Transaction overview</w:t>
      </w:r>
    </w:p>
    <w:p>
      <w:pPr>
        <w:sectPr>
          <w:pgSz w:w="11900" w:h="16838" w:orient="portrait"/>
          <w:cols w:equalWidth="0" w:num="1">
            <w:col w:w="9779"/>
          </w:cols>
          <w:pgMar w:left="680" w:top="1440" w:right="1440" w:bottom="1440" w:gutter="0" w:footer="0" w:header="0"/>
        </w:sectPr>
      </w:pPr>
    </w:p>
    <w:bookmarkStart w:id="16" w:name="page17"/>
    <w:bookmarkEnd w:id="16"/>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Transaction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313055</wp:posOffset>
            </wp:positionV>
            <wp:extent cx="7033260" cy="4542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3260" cy="45421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Arial" w:cs="Arial" w:eastAsia="Arial" w:hAnsi="Arial"/>
          <w:sz w:val="25"/>
          <w:szCs w:val="25"/>
          <w:b w:val="1"/>
          <w:bCs w:val="1"/>
          <w:i w:val="1"/>
          <w:iCs w:val="1"/>
          <w:color w:val="FFFFFF"/>
        </w:rPr>
        <w:t>The acquisition of Hilb Rogal &amp; Hobbs is strategically and financially compelling</w:t>
      </w:r>
    </w:p>
    <w:p>
      <w:pPr>
        <w:spacing w:after="0" w:line="200" w:lineRule="exact"/>
        <w:rPr>
          <w:sz w:val="20"/>
          <w:szCs w:val="20"/>
          <w:color w:val="auto"/>
        </w:rPr>
      </w:pPr>
    </w:p>
    <w:p>
      <w:pPr>
        <w:spacing w:after="0" w:line="382" w:lineRule="exact"/>
        <w:rPr>
          <w:sz w:val="20"/>
          <w:szCs w:val="20"/>
          <w:color w:val="auto"/>
        </w:rPr>
      </w:pPr>
    </w:p>
    <w:p>
      <w:pPr>
        <w:ind w:left="760" w:right="400"/>
        <w:spacing w:after="0" w:line="278" w:lineRule="auto"/>
        <w:rPr>
          <w:sz w:val="20"/>
          <w:szCs w:val="20"/>
          <w:color w:val="auto"/>
        </w:rPr>
      </w:pPr>
      <w:r>
        <w:rPr>
          <w:rFonts w:ascii="Arial" w:cs="Arial" w:eastAsia="Arial" w:hAnsi="Arial"/>
          <w:sz w:val="25"/>
          <w:szCs w:val="25"/>
          <w:b w:val="1"/>
          <w:bCs w:val="1"/>
          <w:color w:val="132647"/>
        </w:rPr>
        <w:t xml:space="preserve">Accelerates growth </w:t>
      </w:r>
      <w:r>
        <w:rPr>
          <w:rFonts w:ascii="Arial" w:cs="Arial" w:eastAsia="Arial" w:hAnsi="Arial"/>
          <w:sz w:val="25"/>
          <w:szCs w:val="25"/>
          <w:color w:val="132647"/>
        </w:rPr>
        <w:t>and</w:t>
      </w:r>
      <w:r>
        <w:rPr>
          <w:rFonts w:ascii="Arial" w:cs="Arial" w:eastAsia="Arial" w:hAnsi="Arial"/>
          <w:sz w:val="25"/>
          <w:szCs w:val="25"/>
          <w:b w:val="1"/>
          <w:bCs w:val="1"/>
          <w:color w:val="132647"/>
        </w:rPr>
        <w:t xml:space="preserve"> increases client value </w:t>
      </w:r>
      <w:r>
        <w:rPr>
          <w:rFonts w:ascii="Arial" w:cs="Arial" w:eastAsia="Arial" w:hAnsi="Arial"/>
          <w:sz w:val="25"/>
          <w:szCs w:val="25"/>
          <w:color w:val="132647"/>
        </w:rPr>
        <w:t>through larger, more</w:t>
      </w:r>
      <w:r>
        <w:rPr>
          <w:rFonts w:ascii="Arial" w:cs="Arial" w:eastAsia="Arial" w:hAnsi="Arial"/>
          <w:sz w:val="25"/>
          <w:szCs w:val="25"/>
          <w:b w:val="1"/>
          <w:bCs w:val="1"/>
          <w:color w:val="132647"/>
        </w:rPr>
        <w:t xml:space="preserve"> diversified platform</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132647"/>
        </w:rPr>
        <w:t xml:space="preserve">Complementary geographic footprint </w:t>
      </w:r>
      <w:r>
        <w:rPr>
          <w:rFonts w:ascii="Arial" w:cs="Arial" w:eastAsia="Arial" w:hAnsi="Arial"/>
          <w:sz w:val="25"/>
          <w:szCs w:val="25"/>
          <w:color w:val="132647"/>
        </w:rPr>
        <w:t>doubles Willis’ North American revenues</w:t>
      </w:r>
    </w:p>
    <w:p>
      <w:pPr>
        <w:spacing w:after="0" w:line="229" w:lineRule="exact"/>
        <w:rPr>
          <w:sz w:val="20"/>
          <w:szCs w:val="20"/>
          <w:color w:val="auto"/>
        </w:rPr>
      </w:pPr>
    </w:p>
    <w:p>
      <w:pPr>
        <w:ind w:left="760" w:right="460"/>
        <w:spacing w:after="0" w:line="288" w:lineRule="auto"/>
        <w:rPr>
          <w:sz w:val="20"/>
          <w:szCs w:val="20"/>
          <w:color w:val="auto"/>
        </w:rPr>
      </w:pPr>
      <w:r>
        <w:rPr>
          <w:rFonts w:ascii="Arial" w:cs="Arial" w:eastAsia="Arial" w:hAnsi="Arial"/>
          <w:sz w:val="25"/>
          <w:szCs w:val="25"/>
          <w:color w:val="132647"/>
        </w:rPr>
        <w:t xml:space="preserve">More than </w:t>
      </w:r>
      <w:r>
        <w:rPr>
          <w:rFonts w:ascii="Arial" w:cs="Arial" w:eastAsia="Arial" w:hAnsi="Arial"/>
          <w:sz w:val="25"/>
          <w:szCs w:val="25"/>
          <w:b w:val="1"/>
          <w:bCs w:val="1"/>
          <w:color w:val="132647"/>
        </w:rPr>
        <w:t>doubles Willis’ revenues in targeted, high potential North America</w:t>
      </w:r>
      <w:r>
        <w:rPr>
          <w:rFonts w:ascii="Arial" w:cs="Arial" w:eastAsia="Arial" w:hAnsi="Arial"/>
          <w:sz w:val="25"/>
          <w:szCs w:val="25"/>
          <w:color w:val="132647"/>
        </w:rPr>
        <w:t xml:space="preserve"> </w:t>
      </w:r>
      <w:r>
        <w:rPr>
          <w:rFonts w:ascii="Arial" w:cs="Arial" w:eastAsia="Arial" w:hAnsi="Arial"/>
          <w:sz w:val="25"/>
          <w:szCs w:val="25"/>
          <w:b w:val="1"/>
          <w:bCs w:val="1"/>
          <w:color w:val="132647"/>
        </w:rPr>
        <w:t xml:space="preserve">Employee Benefits </w:t>
      </w:r>
      <w:r>
        <w:rPr>
          <w:rFonts w:ascii="Arial" w:cs="Arial" w:eastAsia="Arial" w:hAnsi="Arial"/>
          <w:sz w:val="25"/>
          <w:szCs w:val="25"/>
          <w:color w:val="132647"/>
        </w:rPr>
        <w:t>business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5"/>
          <w:szCs w:val="25"/>
          <w:color w:val="132647"/>
        </w:rPr>
        <w:t>Adds depth and breadth to other key practice areas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5"/>
          <w:szCs w:val="25"/>
          <w:color w:val="132647"/>
        </w:rPr>
        <w:t>Strengthens Willis’ middle market leadership and reinforces large account presence</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132647"/>
        </w:rPr>
        <w:t>Immediately accretive to Willis Cash EPS; accretive to GAAP EPS from year 2</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132647"/>
        </w:rPr>
        <w:t>Attractive valuation; 2.4x 2008E revenue, less than 10x 2008E EBITDA</w:t>
      </w:r>
    </w:p>
    <w:p>
      <w:pPr>
        <w:spacing w:after="0" w:line="259" w:lineRule="exact"/>
        <w:rPr>
          <w:sz w:val="20"/>
          <w:szCs w:val="20"/>
          <w:color w:val="auto"/>
        </w:rPr>
      </w:pPr>
    </w:p>
    <w:p>
      <w:pPr>
        <w:ind w:left="760" w:right="1280"/>
        <w:spacing w:after="0" w:line="284" w:lineRule="auto"/>
        <w:rPr>
          <w:sz w:val="20"/>
          <w:szCs w:val="20"/>
          <w:color w:val="auto"/>
        </w:rPr>
      </w:pPr>
      <w:r>
        <w:rPr>
          <w:rFonts w:ascii="Arial" w:cs="Arial" w:eastAsia="Arial" w:hAnsi="Arial"/>
          <w:sz w:val="24"/>
          <w:szCs w:val="24"/>
          <w:color w:val="132647"/>
        </w:rPr>
        <w:t xml:space="preserve">Anticipated synergies of $100 million, with additional $40 million annualized efficiencies post-integration from the implementation of </w:t>
      </w:r>
      <w:r>
        <w:rPr>
          <w:rFonts w:ascii="Arial" w:cs="Arial" w:eastAsia="Arial" w:hAnsi="Arial"/>
          <w:sz w:val="20"/>
          <w:szCs w:val="20"/>
          <w:b w:val="1"/>
          <w:bCs w:val="1"/>
          <w:color w:val="132647"/>
        </w:rPr>
        <w:t>Shaping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4</w:t>
      </w:r>
    </w:p>
    <w:p>
      <w:pPr>
        <w:sectPr>
          <w:pgSz w:w="11900" w:h="16838" w:orient="portrait"/>
          <w:cols w:equalWidth="0" w:num="1">
            <w:col w:w="10260"/>
          </w:cols>
          <w:pgMar w:left="660" w:top="162" w:right="979" w:bottom="1440" w:gutter="0" w:footer="0" w:header="0"/>
        </w:sectPr>
      </w:pPr>
    </w:p>
    <w:bookmarkStart w:id="17" w:name="page18"/>
    <w:bookmarkEnd w:id="17"/>
    <w:p>
      <w:pPr>
        <w:ind w:left="120"/>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Terms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447675</wp:posOffset>
            </wp:positionV>
            <wp:extent cx="7025640" cy="4452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5640" cy="4452620"/>
                    </a:xfrm>
                    <a:prstGeom prst="rect">
                      <a:avLst/>
                    </a:prstGeom>
                    <a:noFill/>
                  </pic:spPr>
                </pic:pic>
              </a:graphicData>
            </a:graphic>
          </wp:anchor>
        </w:drawing>
      </w:r>
    </w:p>
    <w:p>
      <w:pPr>
        <w:sectPr>
          <w:pgSz w:w="11900" w:h="16838" w:orient="portrait"/>
          <w:cols w:equalWidth="0" w:num="1">
            <w:col w:w="10720"/>
          </w:cols>
          <w:pgMar w:left="600" w:top="17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TRANSACTION</w:t>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PRICE PER SHARE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AGGREGATE CONSIDERATION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EXPECTED CLOSING</w:t>
      </w:r>
    </w:p>
    <w:p>
      <w:pPr>
        <w:spacing w:after="0" w:line="200" w:lineRule="exact"/>
        <w:rPr>
          <w:sz w:val="20"/>
          <w:szCs w:val="20"/>
          <w:color w:val="auto"/>
        </w:rPr>
      </w:pPr>
    </w:p>
    <w:p>
      <w:pPr>
        <w:spacing w:after="0" w:line="287"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APPROVALS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Willis to acquire 100% of Hilb Rogal &amp; Hobbs (HRH)</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$46.00</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50% cash, 50% stock</w:t>
      </w:r>
    </w:p>
    <w:p>
      <w:pPr>
        <w:spacing w:after="0" w:line="43" w:lineRule="exact"/>
        <w:rPr>
          <w:sz w:val="20"/>
          <w:szCs w:val="20"/>
          <w:color w:val="auto"/>
        </w:rPr>
      </w:pPr>
    </w:p>
    <w:p>
      <w:pPr>
        <w:ind w:right="340"/>
        <w:spacing w:after="0" w:line="328" w:lineRule="auto"/>
        <w:rPr>
          <w:sz w:val="20"/>
          <w:szCs w:val="20"/>
          <w:color w:val="auto"/>
        </w:rPr>
      </w:pPr>
      <w:r>
        <w:rPr>
          <w:rFonts w:ascii="Arial" w:cs="Arial" w:eastAsia="Arial" w:hAnsi="Arial"/>
          <w:sz w:val="22"/>
          <w:szCs w:val="22"/>
          <w:b w:val="1"/>
          <w:bCs w:val="1"/>
          <w:color w:val="auto"/>
        </w:rPr>
        <w:t>Tax free transaction to Hilb Rogal &amp; Hobbs shareholders Transaction includes a collar</w:t>
      </w:r>
      <w:r>
        <w:rPr>
          <w:rFonts w:ascii="Arial" w:cs="Arial" w:eastAsia="Arial" w:hAnsi="Arial"/>
          <w:sz w:val="14"/>
          <w:szCs w:val="14"/>
          <w:b w:val="1"/>
          <w:bCs w:val="1"/>
          <w:color w:val="auto"/>
        </w:rPr>
        <w:t>(1)</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billion equity value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billion enterprise value</w:t>
      </w:r>
      <w:r>
        <w:rPr>
          <w:rFonts w:ascii="Arial" w:cs="Arial" w:eastAsia="Arial" w:hAnsi="Arial"/>
          <w:sz w:val="14"/>
          <w:szCs w:val="14"/>
          <w:b w:val="1"/>
          <w:bCs w:val="1"/>
          <w:color w:val="auto"/>
        </w:rPr>
        <w:t>(2)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4Q 2008</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Customary regulatory approvals and HRH shareholder vote</w:t>
      </w:r>
    </w:p>
    <w:p>
      <w:pPr>
        <w:spacing w:after="0" w:line="200" w:lineRule="exact"/>
        <w:rPr>
          <w:sz w:val="20"/>
          <w:szCs w:val="20"/>
          <w:color w:val="auto"/>
        </w:rPr>
      </w:pPr>
    </w:p>
    <w:p>
      <w:pPr>
        <w:sectPr>
          <w:pgSz w:w="11900" w:h="16838" w:orient="portrait"/>
          <w:cols w:equalWidth="0" w:num="2">
            <w:col w:w="3680" w:space="720"/>
            <w:col w:w="6320"/>
          </w:cols>
          <w:pgMar w:left="600" w:top="174"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132647"/>
        </w:rPr>
        <w:t>(1) The transaction includes a 12% collar, that is, if Willis’ share price increases or decreases up to 12%, the aggregate consideration remains $46.00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132647"/>
        </w:rPr>
        <w:t>per share; if, however, the Willis share price increases or decreases more than 12%, 50% of the consideration would adjust based on the value of Willis’ stock (resulting in a transaction value per share less than or greater than $46.00)</w:t>
      </w:r>
    </w:p>
    <w:p>
      <w:pPr>
        <w:spacing w:after="0" w:line="156" w:lineRule="exact"/>
        <w:rPr>
          <w:sz w:val="20"/>
          <w:szCs w:val="20"/>
          <w:color w:val="auto"/>
        </w:rPr>
      </w:pPr>
    </w:p>
    <w:p>
      <w:pPr>
        <w:ind w:left="10200"/>
        <w:spacing w:after="0"/>
        <w:rPr>
          <w:sz w:val="20"/>
          <w:szCs w:val="20"/>
          <w:color w:val="auto"/>
        </w:rPr>
      </w:pPr>
      <w:r>
        <w:rPr>
          <w:rFonts w:ascii="Arial" w:cs="Arial" w:eastAsia="Arial" w:hAnsi="Arial"/>
          <w:sz w:val="22"/>
          <w:szCs w:val="22"/>
          <w:color w:val="132647"/>
        </w:rPr>
        <w:t>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132647"/>
        </w:rPr>
        <w:t>(2) See appendix for definitions of non-GAAP measures</w:t>
      </w:r>
    </w:p>
    <w:p>
      <w:pPr>
        <w:sectPr>
          <w:pgSz w:w="11900" w:h="16838" w:orient="portrait"/>
          <w:cols w:equalWidth="0" w:num="1">
            <w:col w:w="10720"/>
          </w:cols>
          <w:pgMar w:left="600" w:top="174" w:right="57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65"/>
          <w:szCs w:val="65"/>
          <w:color w:val="132647"/>
        </w:rPr>
        <w:t>Willis and HRH overview</w:t>
      </w:r>
    </w:p>
    <w:p>
      <w:pPr>
        <w:sectPr>
          <w:pgSz w:w="11900" w:h="16838" w:orient="portrait"/>
          <w:cols w:equalWidth="0" w:num="1">
            <w:col w:w="9959"/>
          </w:cols>
          <w:pgMar w:left="500" w:top="1440"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Overview of Willis</w:t>
      </w: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132647"/>
        </w:rPr>
        <w:t>COMPANY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-147955</wp:posOffset>
            </wp:positionV>
            <wp:extent cx="6876415" cy="4661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6415" cy="4661535"/>
                    </a:xfrm>
                    <a:prstGeom prst="rect">
                      <a:avLst/>
                    </a:prstGeom>
                    <a:noFill/>
                  </pic:spPr>
                </pic:pic>
              </a:graphicData>
            </a:graphic>
          </wp:anchor>
        </w:drawing>
      </w:r>
    </w:p>
    <w:p>
      <w:pPr>
        <w:spacing w:after="0" w:line="280" w:lineRule="exact"/>
        <w:rPr>
          <w:sz w:val="20"/>
          <w:szCs w:val="20"/>
          <w:color w:val="auto"/>
        </w:rPr>
      </w:pPr>
    </w:p>
    <w:p>
      <w:pPr>
        <w:ind w:left="840" w:hanging="290"/>
        <w:spacing w:after="0"/>
        <w:tabs>
          <w:tab w:leader="none" w:pos="840" w:val="left"/>
        </w:tabs>
        <w:numPr>
          <w:ilvl w:val="0"/>
          <w:numId w:val="5"/>
        </w:numPr>
        <w:rPr>
          <w:rFonts w:ascii="Arial" w:cs="Arial" w:eastAsia="Arial" w:hAnsi="Arial"/>
          <w:sz w:val="18"/>
          <w:szCs w:val="18"/>
          <w:color w:val="132647"/>
        </w:rPr>
      </w:pPr>
      <w:r>
        <w:rPr>
          <w:rFonts w:ascii="Arial" w:cs="Arial" w:eastAsia="Arial" w:hAnsi="Arial"/>
          <w:sz w:val="18"/>
          <w:szCs w:val="18"/>
          <w:color w:val="132647"/>
        </w:rPr>
        <w:t>3rd largest provider of insurance brokerage, reinsurance and risk management consulting services worldwide</w:t>
      </w:r>
    </w:p>
    <w:p>
      <w:pPr>
        <w:spacing w:after="0" w:line="4" w:lineRule="exact"/>
        <w:rPr>
          <w:rFonts w:ascii="Arial" w:cs="Arial" w:eastAsia="Arial" w:hAnsi="Arial"/>
          <w:sz w:val="18"/>
          <w:szCs w:val="18"/>
          <w:color w:val="132647"/>
        </w:rPr>
      </w:pPr>
    </w:p>
    <w:p>
      <w:pPr>
        <w:ind w:left="840" w:hanging="290"/>
        <w:spacing w:after="0"/>
        <w:tabs>
          <w:tab w:leader="none" w:pos="840" w:val="left"/>
        </w:tabs>
        <w:numPr>
          <w:ilvl w:val="0"/>
          <w:numId w:val="5"/>
        </w:numPr>
        <w:rPr>
          <w:rFonts w:ascii="Arial" w:cs="Arial" w:eastAsia="Arial" w:hAnsi="Arial"/>
          <w:sz w:val="19"/>
          <w:szCs w:val="19"/>
          <w:color w:val="132647"/>
        </w:rPr>
      </w:pPr>
      <w:r>
        <w:rPr>
          <w:rFonts w:ascii="Arial" w:cs="Arial" w:eastAsia="Arial" w:hAnsi="Arial"/>
          <w:sz w:val="19"/>
          <w:szCs w:val="19"/>
          <w:color w:val="132647"/>
        </w:rPr>
        <w:t>Operates three business segments</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9"/>
          <w:szCs w:val="19"/>
          <w:color w:val="132647"/>
        </w:rPr>
        <w:t>International (39%) – international retail brokerage</w:t>
      </w:r>
    </w:p>
    <w:p>
      <w:pPr>
        <w:ind w:left="1040"/>
        <w:spacing w:after="0" w:line="237" w:lineRule="auto"/>
        <w:rPr>
          <w:sz w:val="20"/>
          <w:szCs w:val="20"/>
          <w:color w:val="auto"/>
        </w:rPr>
      </w:pPr>
      <w:r>
        <w:rPr>
          <w:rFonts w:ascii="Arial" w:cs="Arial" w:eastAsia="Arial" w:hAnsi="Arial"/>
          <w:sz w:val="19"/>
          <w:szCs w:val="19"/>
          <w:color w:val="132647"/>
        </w:rPr>
        <w:t>Global (31%) – worldwide specialist brokerage, consulting services and reinsurance</w:t>
      </w:r>
    </w:p>
    <w:p>
      <w:pPr>
        <w:ind w:left="1040"/>
        <w:spacing w:after="0"/>
        <w:rPr>
          <w:sz w:val="20"/>
          <w:szCs w:val="20"/>
          <w:color w:val="auto"/>
        </w:rPr>
      </w:pPr>
      <w:r>
        <w:rPr>
          <w:rFonts w:ascii="Arial" w:cs="Arial" w:eastAsia="Arial" w:hAnsi="Arial"/>
          <w:sz w:val="19"/>
          <w:szCs w:val="19"/>
          <w:color w:val="132647"/>
        </w:rPr>
        <w:t>North America (30%) - Retail operations in the US &amp; Canada</w:t>
      </w:r>
    </w:p>
    <w:p>
      <w:pPr>
        <w:spacing w:after="0" w:line="5" w:lineRule="exact"/>
        <w:rPr>
          <w:sz w:val="20"/>
          <w:szCs w:val="20"/>
          <w:color w:val="auto"/>
        </w:rPr>
      </w:pPr>
    </w:p>
    <w:p>
      <w:pPr>
        <w:ind w:left="840" w:hanging="290"/>
        <w:spacing w:after="0"/>
        <w:tabs>
          <w:tab w:leader="none" w:pos="840" w:val="left"/>
        </w:tabs>
        <w:numPr>
          <w:ilvl w:val="0"/>
          <w:numId w:val="6"/>
        </w:numPr>
        <w:rPr>
          <w:rFonts w:ascii="Arial" w:cs="Arial" w:eastAsia="Arial" w:hAnsi="Arial"/>
          <w:sz w:val="19"/>
          <w:szCs w:val="19"/>
          <w:color w:val="132647"/>
        </w:rPr>
      </w:pPr>
      <w:r>
        <w:rPr>
          <w:rFonts w:ascii="Arial" w:cs="Arial" w:eastAsia="Arial" w:hAnsi="Arial"/>
          <w:sz w:val="19"/>
          <w:szCs w:val="19"/>
          <w:color w:val="132647"/>
        </w:rPr>
        <w:t>13,000 employees in approximately 300 offices in 100 countries</w:t>
      </w:r>
    </w:p>
    <w:p>
      <w:pPr>
        <w:sectPr>
          <w:pgSz w:w="11900" w:h="16838" w:orient="portrait"/>
          <w:cols w:equalWidth="0" w:num="1">
            <w:col w:w="10320"/>
          </w:cols>
          <w:pgMar w:left="600" w:top="174" w:right="979" w:bottom="1440" w:gutter="0" w:footer="0" w:header="0"/>
        </w:sectPr>
      </w:pPr>
    </w:p>
    <w:p>
      <w:pPr>
        <w:spacing w:after="0" w:line="285" w:lineRule="exact"/>
        <w:rPr>
          <w:sz w:val="20"/>
          <w:szCs w:val="20"/>
          <w:color w:val="auto"/>
        </w:rPr>
      </w:pPr>
    </w:p>
    <w:p>
      <w:pPr>
        <w:jc w:val="center"/>
        <w:ind w:left="840"/>
        <w:spacing w:after="0"/>
        <w:rPr>
          <w:sz w:val="20"/>
          <w:szCs w:val="20"/>
          <w:color w:val="auto"/>
        </w:rPr>
      </w:pPr>
      <w:r>
        <w:rPr>
          <w:rFonts w:ascii="Arial" w:cs="Arial" w:eastAsia="Arial" w:hAnsi="Arial"/>
          <w:sz w:val="22"/>
          <w:szCs w:val="22"/>
          <w:b w:val="1"/>
          <w:bCs w:val="1"/>
          <w:color w:val="132647"/>
        </w:rPr>
        <w:t>SENIOR MANAGEMENT</w:t>
      </w:r>
    </w:p>
    <w:p>
      <w:pPr>
        <w:spacing w:after="0" w:line="200" w:lineRule="exact"/>
        <w:rPr>
          <w:sz w:val="20"/>
          <w:szCs w:val="20"/>
          <w:color w:val="auto"/>
        </w:rPr>
      </w:pP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5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ind w:left="155"/>
              <w:spacing w:after="0"/>
              <w:rPr>
                <w:sz w:val="20"/>
                <w:szCs w:val="20"/>
                <w:color w:val="auto"/>
              </w:rPr>
            </w:pPr>
            <w:r>
              <w:rPr>
                <w:rFonts w:ascii="Arial" w:cs="Arial" w:eastAsia="Arial" w:hAnsi="Arial"/>
                <w:sz w:val="13"/>
                <w:szCs w:val="13"/>
                <w:b w:val="1"/>
                <w:bCs w:val="1"/>
                <w:color w:val="auto"/>
                <w:w w:val="97"/>
              </w:rPr>
              <w:t>Age</w:t>
            </w:r>
          </w:p>
        </w:tc>
        <w:tc>
          <w:tcPr>
            <w:tcW w:w="1720" w:type="dxa"/>
            <w:vAlign w:val="bottom"/>
          </w:tcPr>
          <w:p>
            <w:pPr>
              <w:ind w:left="200"/>
              <w:spacing w:after="0"/>
              <w:rPr>
                <w:sz w:val="20"/>
                <w:szCs w:val="20"/>
                <w:color w:val="auto"/>
              </w:rPr>
            </w:pPr>
            <w:r>
              <w:rPr>
                <w:rFonts w:ascii="Arial" w:cs="Arial" w:eastAsia="Arial" w:hAnsi="Arial"/>
                <w:sz w:val="13"/>
                <w:szCs w:val="13"/>
                <w:b w:val="1"/>
                <w:bCs w:val="1"/>
                <w:color w:val="auto"/>
              </w:rPr>
              <w:t>Title</w:t>
            </w:r>
          </w:p>
        </w:tc>
      </w:tr>
      <w:tr>
        <w:trPr>
          <w:trHeight w:val="270"/>
        </w:trPr>
        <w:tc>
          <w:tcPr>
            <w:tcW w:w="1500" w:type="dxa"/>
            <w:vAlign w:val="bottom"/>
          </w:tcPr>
          <w:p>
            <w:pPr>
              <w:spacing w:after="0"/>
              <w:rPr>
                <w:sz w:val="20"/>
                <w:szCs w:val="20"/>
                <w:color w:val="auto"/>
              </w:rPr>
            </w:pPr>
            <w:r>
              <w:rPr>
                <w:rFonts w:ascii="Arial" w:cs="Arial" w:eastAsia="Arial" w:hAnsi="Arial"/>
                <w:sz w:val="13"/>
                <w:szCs w:val="13"/>
                <w:color w:val="auto"/>
              </w:rPr>
              <w:t>Joseph J. Plumeri</w:t>
            </w:r>
          </w:p>
        </w:tc>
        <w:tc>
          <w:tcPr>
            <w:tcW w:w="860" w:type="dxa"/>
            <w:vAlign w:val="bottom"/>
          </w:tcPr>
          <w:p>
            <w:pPr>
              <w:jc w:val="center"/>
              <w:ind w:left="175"/>
              <w:spacing w:after="0"/>
              <w:rPr>
                <w:sz w:val="20"/>
                <w:szCs w:val="20"/>
                <w:color w:val="auto"/>
              </w:rPr>
            </w:pPr>
            <w:r>
              <w:rPr>
                <w:rFonts w:ascii="Arial" w:cs="Arial" w:eastAsia="Arial" w:hAnsi="Arial"/>
                <w:sz w:val="13"/>
                <w:szCs w:val="13"/>
                <w:color w:val="auto"/>
                <w:w w:val="96"/>
              </w:rPr>
              <w:t>64</w:t>
            </w:r>
          </w:p>
        </w:tc>
        <w:tc>
          <w:tcPr>
            <w:tcW w:w="1720" w:type="dxa"/>
            <w:vAlign w:val="bottom"/>
          </w:tcPr>
          <w:p>
            <w:pPr>
              <w:ind w:left="200"/>
              <w:spacing w:after="0"/>
              <w:rPr>
                <w:sz w:val="20"/>
                <w:szCs w:val="20"/>
                <w:color w:val="auto"/>
              </w:rPr>
            </w:pPr>
            <w:r>
              <w:rPr>
                <w:rFonts w:ascii="Arial" w:cs="Arial" w:eastAsia="Arial" w:hAnsi="Arial"/>
                <w:sz w:val="13"/>
                <w:szCs w:val="13"/>
                <w:color w:val="auto"/>
              </w:rPr>
              <w:t>Chairman &amp; CEO</w:t>
            </w:r>
          </w:p>
        </w:tc>
      </w:tr>
      <w:tr>
        <w:trPr>
          <w:trHeight w:val="258"/>
        </w:trPr>
        <w:tc>
          <w:tcPr>
            <w:tcW w:w="1500" w:type="dxa"/>
            <w:vAlign w:val="bottom"/>
          </w:tcPr>
          <w:p>
            <w:pPr>
              <w:spacing w:after="0"/>
              <w:rPr>
                <w:sz w:val="20"/>
                <w:szCs w:val="20"/>
                <w:color w:val="auto"/>
              </w:rPr>
            </w:pPr>
            <w:r>
              <w:rPr>
                <w:rFonts w:ascii="Arial" w:cs="Arial" w:eastAsia="Arial" w:hAnsi="Arial"/>
                <w:sz w:val="13"/>
                <w:szCs w:val="13"/>
                <w:color w:val="auto"/>
              </w:rPr>
              <w:t>Grahame Millwater</w:t>
            </w:r>
          </w:p>
        </w:tc>
        <w:tc>
          <w:tcPr>
            <w:tcW w:w="860" w:type="dxa"/>
            <w:vAlign w:val="bottom"/>
          </w:tcPr>
          <w:p>
            <w:pPr>
              <w:jc w:val="center"/>
              <w:ind w:left="175"/>
              <w:spacing w:after="0"/>
              <w:rPr>
                <w:sz w:val="20"/>
                <w:szCs w:val="20"/>
                <w:color w:val="auto"/>
              </w:rPr>
            </w:pPr>
            <w:r>
              <w:rPr>
                <w:rFonts w:ascii="Arial" w:cs="Arial" w:eastAsia="Arial" w:hAnsi="Arial"/>
                <w:sz w:val="13"/>
                <w:szCs w:val="13"/>
                <w:color w:val="auto"/>
                <w:w w:val="96"/>
              </w:rPr>
              <w:t>44</w:t>
            </w:r>
          </w:p>
        </w:tc>
        <w:tc>
          <w:tcPr>
            <w:tcW w:w="1720" w:type="dxa"/>
            <w:vAlign w:val="bottom"/>
          </w:tcPr>
          <w:p>
            <w:pPr>
              <w:ind w:left="200"/>
              <w:spacing w:after="0"/>
              <w:rPr>
                <w:sz w:val="20"/>
                <w:szCs w:val="20"/>
                <w:color w:val="auto"/>
              </w:rPr>
            </w:pPr>
            <w:r>
              <w:rPr>
                <w:rFonts w:ascii="Arial" w:cs="Arial" w:eastAsia="Arial" w:hAnsi="Arial"/>
                <w:sz w:val="13"/>
                <w:szCs w:val="13"/>
                <w:color w:val="auto"/>
              </w:rPr>
              <w:t>President</w:t>
            </w:r>
          </w:p>
        </w:tc>
      </w:tr>
      <w:tr>
        <w:trPr>
          <w:trHeight w:val="258"/>
        </w:trPr>
        <w:tc>
          <w:tcPr>
            <w:tcW w:w="1500" w:type="dxa"/>
            <w:vAlign w:val="bottom"/>
          </w:tcPr>
          <w:p>
            <w:pPr>
              <w:spacing w:after="0"/>
              <w:rPr>
                <w:sz w:val="20"/>
                <w:szCs w:val="20"/>
                <w:color w:val="auto"/>
              </w:rPr>
            </w:pPr>
            <w:r>
              <w:rPr>
                <w:rFonts w:ascii="Arial" w:cs="Arial" w:eastAsia="Arial" w:hAnsi="Arial"/>
                <w:sz w:val="13"/>
                <w:szCs w:val="13"/>
                <w:color w:val="auto"/>
              </w:rPr>
              <w:t>Patrick C. Regan</w:t>
            </w:r>
          </w:p>
        </w:tc>
        <w:tc>
          <w:tcPr>
            <w:tcW w:w="860" w:type="dxa"/>
            <w:vAlign w:val="bottom"/>
          </w:tcPr>
          <w:p>
            <w:pPr>
              <w:jc w:val="center"/>
              <w:ind w:left="175"/>
              <w:spacing w:after="0"/>
              <w:rPr>
                <w:sz w:val="20"/>
                <w:szCs w:val="20"/>
                <w:color w:val="auto"/>
              </w:rPr>
            </w:pPr>
            <w:r>
              <w:rPr>
                <w:rFonts w:ascii="Arial" w:cs="Arial" w:eastAsia="Arial" w:hAnsi="Arial"/>
                <w:sz w:val="13"/>
                <w:szCs w:val="13"/>
                <w:color w:val="auto"/>
                <w:w w:val="96"/>
              </w:rPr>
              <w:t>41</w:t>
            </w:r>
          </w:p>
        </w:tc>
        <w:tc>
          <w:tcPr>
            <w:tcW w:w="1720" w:type="dxa"/>
            <w:vAlign w:val="bottom"/>
          </w:tcPr>
          <w:p>
            <w:pPr>
              <w:ind w:left="200"/>
              <w:spacing w:after="0"/>
              <w:rPr>
                <w:sz w:val="20"/>
                <w:szCs w:val="20"/>
                <w:color w:val="auto"/>
              </w:rPr>
            </w:pPr>
            <w:r>
              <w:rPr>
                <w:rFonts w:ascii="Arial" w:cs="Arial" w:eastAsia="Arial" w:hAnsi="Arial"/>
                <w:sz w:val="13"/>
                <w:szCs w:val="13"/>
                <w:color w:val="auto"/>
                <w:w w:val="98"/>
              </w:rPr>
              <w:t>Group COO &amp; Group CFO</w:t>
            </w:r>
          </w:p>
        </w:tc>
      </w:tr>
    </w:tbl>
    <w:p>
      <w:pPr>
        <w:spacing w:after="0" w:line="200" w:lineRule="exact"/>
        <w:rPr>
          <w:sz w:val="20"/>
          <w:szCs w:val="20"/>
          <w:color w:val="auto"/>
        </w:rPr>
      </w:pPr>
    </w:p>
    <w:p>
      <w:pPr>
        <w:spacing w:after="0" w:line="33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132647"/>
        </w:rPr>
        <w:t>REVENUE AND REVENUE GROWTH</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1"/>
          <w:szCs w:val="11"/>
          <w:i w:val="1"/>
          <w:iCs w:val="1"/>
          <w:color w:val="132647"/>
        </w:rPr>
        <w:t>($ in millions)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3"/>
                <w:szCs w:val="13"/>
                <w:b w:val="1"/>
                <w:bCs w:val="1"/>
                <w:color w:val="auto"/>
              </w:rPr>
              <w:t>0%</w:t>
            </w:r>
          </w:p>
        </w:tc>
        <w:tc>
          <w:tcPr>
            <w:tcW w:w="1720" w:type="dxa"/>
            <w:vAlign w:val="bottom"/>
          </w:tcPr>
          <w:p>
            <w:pPr>
              <w:ind w:left="680"/>
              <w:spacing w:after="0"/>
              <w:rPr>
                <w:sz w:val="20"/>
                <w:szCs w:val="20"/>
                <w:color w:val="auto"/>
              </w:rPr>
            </w:pPr>
            <w:r>
              <w:rPr>
                <w:rFonts w:ascii="Arial" w:cs="Arial" w:eastAsia="Arial" w:hAnsi="Arial"/>
                <w:sz w:val="13"/>
                <w:szCs w:val="13"/>
                <w:b w:val="1"/>
                <w:bCs w:val="1"/>
                <w:color w:val="auto"/>
              </w:rPr>
              <w:t>7%</w:t>
            </w:r>
          </w:p>
        </w:tc>
        <w:tc>
          <w:tcPr>
            <w:tcW w:w="1060" w:type="dxa"/>
            <w:vAlign w:val="bottom"/>
            <w:vMerge w:val="restart"/>
          </w:tcPr>
          <w:p>
            <w:pPr>
              <w:ind w:left="720"/>
              <w:spacing w:after="0"/>
              <w:rPr>
                <w:sz w:val="20"/>
                <w:szCs w:val="20"/>
                <w:color w:val="auto"/>
              </w:rPr>
            </w:pPr>
            <w:r>
              <w:rPr>
                <w:rFonts w:ascii="Arial" w:cs="Arial" w:eastAsia="Arial" w:hAnsi="Arial"/>
                <w:sz w:val="13"/>
                <w:szCs w:val="13"/>
                <w:b w:val="1"/>
                <w:bCs w:val="1"/>
                <w:color w:val="auto"/>
              </w:rPr>
              <w:t>6%</w:t>
            </w:r>
          </w:p>
        </w:tc>
        <w:tc>
          <w:tcPr>
            <w:tcW w:w="0" w:type="dxa"/>
            <w:vAlign w:val="bottom"/>
          </w:tcPr>
          <w:p>
            <w:pPr>
              <w:spacing w:after="0"/>
              <w:rPr>
                <w:sz w:val="1"/>
                <w:szCs w:val="1"/>
                <w:color w:val="auto"/>
              </w:rPr>
            </w:pPr>
          </w:p>
        </w:tc>
      </w:tr>
      <w:tr>
        <w:trPr>
          <w:trHeight w:val="70"/>
        </w:trPr>
        <w:tc>
          <w:tcPr>
            <w:tcW w:w="106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$2,578</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720" w:type="dxa"/>
            <w:vAlign w:val="bottom"/>
          </w:tcPr>
          <w:p>
            <w:pPr>
              <w:jc w:val="right"/>
              <w:ind w:right="617"/>
              <w:spacing w:after="0"/>
              <w:rPr>
                <w:sz w:val="20"/>
                <w:szCs w:val="20"/>
                <w:color w:val="auto"/>
              </w:rPr>
            </w:pPr>
            <w:r>
              <w:rPr>
                <w:rFonts w:ascii="Arial" w:cs="Arial" w:eastAsia="Arial" w:hAnsi="Arial"/>
                <w:sz w:val="13"/>
                <w:szCs w:val="13"/>
                <w:b w:val="1"/>
                <w:bCs w:val="1"/>
                <w:color w:val="auto"/>
              </w:rPr>
              <w:t>$2,428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Arial" w:cs="Arial" w:eastAsia="Arial" w:hAnsi="Arial"/>
                <w:sz w:val="13"/>
                <w:szCs w:val="13"/>
                <w:b w:val="1"/>
                <w:bCs w:val="1"/>
                <w:color w:val="auto"/>
              </w:rPr>
              <w:t>$2,267</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4"/>
        </w:trPr>
        <w:tc>
          <w:tcPr>
            <w:tcW w:w="1060" w:type="dxa"/>
            <w:vAlign w:val="bottom"/>
          </w:tcPr>
          <w:p>
            <w:pPr>
              <w:jc w:val="right"/>
              <w:ind w:right="717"/>
              <w:spacing w:after="0"/>
              <w:rPr>
                <w:sz w:val="20"/>
                <w:szCs w:val="20"/>
                <w:color w:val="auto"/>
              </w:rPr>
            </w:pPr>
            <w:r>
              <w:rPr>
                <w:rFonts w:ascii="Arial" w:cs="Arial" w:eastAsia="Arial" w:hAnsi="Arial"/>
                <w:sz w:val="12"/>
                <w:szCs w:val="12"/>
                <w:color w:val="auto"/>
                <w:w w:val="97"/>
              </w:rPr>
              <w:t>2005</w:t>
            </w:r>
          </w:p>
        </w:tc>
        <w:tc>
          <w:tcPr>
            <w:tcW w:w="1720" w:type="dxa"/>
            <w:vAlign w:val="bottom"/>
          </w:tcPr>
          <w:p>
            <w:pPr>
              <w:ind w:left="700"/>
              <w:spacing w:after="0"/>
              <w:rPr>
                <w:sz w:val="20"/>
                <w:szCs w:val="20"/>
                <w:color w:val="auto"/>
              </w:rPr>
            </w:pPr>
            <w:r>
              <w:rPr>
                <w:rFonts w:ascii="Arial" w:cs="Arial" w:eastAsia="Arial" w:hAnsi="Arial"/>
                <w:sz w:val="12"/>
                <w:szCs w:val="12"/>
                <w:color w:val="auto"/>
              </w:rPr>
              <w:t>2006</w:t>
            </w:r>
          </w:p>
        </w:tc>
        <w:tc>
          <w:tcPr>
            <w:tcW w:w="1060" w:type="dxa"/>
            <w:vAlign w:val="bottom"/>
          </w:tcPr>
          <w:p>
            <w:pPr>
              <w:ind w:left="72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132647"/>
        </w:rPr>
        <w:t>(1) See appendix for definitions of non-GAAP measures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132647"/>
        </w:rPr>
        <w:t>2007 REVENUE BREAKDOWN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North America</w:t>
      </w:r>
    </w:p>
    <w:p>
      <w:pPr>
        <w:ind w:left="1120"/>
        <w:spacing w:after="0" w:line="183" w:lineRule="auto"/>
        <w:tabs>
          <w:tab w:leader="none" w:pos="3040" w:val="left"/>
        </w:tabs>
        <w:rPr>
          <w:sz w:val="20"/>
          <w:szCs w:val="20"/>
          <w:color w:val="auto"/>
        </w:rPr>
      </w:pPr>
      <w:r>
        <w:rPr>
          <w:rFonts w:ascii="Arial" w:cs="Arial" w:eastAsia="Arial" w:hAnsi="Arial"/>
          <w:sz w:val="21"/>
          <w:szCs w:val="21"/>
          <w:color w:val="auto"/>
          <w:vertAlign w:val="superscript"/>
        </w:rPr>
        <w:t>30%</w:t>
      </w:r>
      <w:r>
        <w:rPr>
          <w:sz w:val="20"/>
          <w:szCs w:val="20"/>
          <w:color w:val="auto"/>
        </w:rPr>
        <w:tab/>
      </w:r>
      <w:r>
        <w:rPr>
          <w:rFonts w:ascii="Arial" w:cs="Arial" w:eastAsia="Arial" w:hAnsi="Arial"/>
          <w:sz w:val="12"/>
          <w:szCs w:val="12"/>
          <w:color w:val="auto"/>
        </w:rPr>
        <w:t>International</w:t>
      </w:r>
    </w:p>
    <w:p>
      <w:pPr>
        <w:spacing w:after="0" w:line="54"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39%</w:t>
      </w:r>
    </w:p>
    <w:p>
      <w:pPr>
        <w:spacing w:after="0" w:line="200" w:lineRule="exact"/>
        <w:rPr>
          <w:sz w:val="20"/>
          <w:szCs w:val="20"/>
          <w:color w:val="auto"/>
        </w:rPr>
      </w:pPr>
    </w:p>
    <w:p>
      <w:pPr>
        <w:spacing w:after="0" w:line="30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Global</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31%</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32647"/>
        </w:rPr>
        <w:t xml:space="preserve">ADJUSTED EBITDA AND EBITDA MARGIN </w:t>
      </w:r>
      <w:r>
        <w:rPr>
          <w:rFonts w:ascii="Arial" w:cs="Arial" w:eastAsia="Arial" w:hAnsi="Arial"/>
          <w:sz w:val="10"/>
          <w:szCs w:val="10"/>
          <w:b w:val="1"/>
          <w:bCs w:val="1"/>
          <w:color w:val="132647"/>
        </w:rPr>
        <w:t>(1)</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i w:val="1"/>
          <w:iCs w:val="1"/>
          <w:color w:val="132647"/>
        </w:rPr>
        <w:t>($ in millions)</w:t>
      </w:r>
    </w:p>
    <w:p>
      <w:pPr>
        <w:spacing w:after="0" w:line="200" w:lineRule="exact"/>
        <w:rPr>
          <w:sz w:val="20"/>
          <w:szCs w:val="20"/>
          <w:color w:val="auto"/>
        </w:rPr>
      </w:pPr>
    </w:p>
    <w:p>
      <w:pPr>
        <w:spacing w:after="0" w:line="270" w:lineRule="exact"/>
        <w:rPr>
          <w:sz w:val="20"/>
          <w:szCs w:val="20"/>
          <w:color w:val="auto"/>
        </w:rPr>
      </w:pPr>
    </w:p>
    <w:tbl>
      <w:tblPr>
        <w:tblLayout w:type="fixed"/>
        <w:tblInd w:w="420" w:type="dxa"/>
        <w:tblCellMar>
          <w:top w:w="0" w:type="dxa"/>
          <w:left w:w="0" w:type="dxa"/>
          <w:bottom w:w="0" w:type="dxa"/>
          <w:right w:w="0" w:type="dxa"/>
        </w:tblCellMar>
      </w:tblPr>
      <w:tr>
        <w:trPr>
          <w:trHeight w:val="154"/>
        </w:trPr>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0" w:type="dxa"/>
            <w:vAlign w:val="bottom"/>
          </w:tcPr>
          <w:p>
            <w:pPr>
              <w:ind w:left="740"/>
              <w:spacing w:after="0"/>
              <w:rPr>
                <w:sz w:val="20"/>
                <w:szCs w:val="20"/>
                <w:color w:val="auto"/>
              </w:rPr>
            </w:pPr>
            <w:r>
              <w:rPr>
                <w:rFonts w:ascii="Arial" w:cs="Arial" w:eastAsia="Arial" w:hAnsi="Arial"/>
                <w:sz w:val="12"/>
                <w:szCs w:val="12"/>
                <w:b w:val="1"/>
                <w:bCs w:val="1"/>
                <w:color w:val="auto"/>
                <w:w w:val="99"/>
              </w:rPr>
              <w:t>27%</w:t>
            </w:r>
          </w:p>
        </w:tc>
        <w:tc>
          <w:tcPr>
            <w:tcW w:w="0" w:type="dxa"/>
            <w:vAlign w:val="bottom"/>
          </w:tcPr>
          <w:p>
            <w:pPr>
              <w:spacing w:after="0"/>
              <w:rPr>
                <w:sz w:val="1"/>
                <w:szCs w:val="1"/>
                <w:color w:val="auto"/>
              </w:rPr>
            </w:pPr>
          </w:p>
        </w:tc>
      </w:tr>
      <w:tr>
        <w:trPr>
          <w:trHeight w:val="247"/>
        </w:trPr>
        <w:tc>
          <w:tcPr>
            <w:tcW w:w="1020" w:type="dxa"/>
            <w:vAlign w:val="bottom"/>
            <w:vMerge w:val="restart"/>
          </w:tcPr>
          <w:p>
            <w:pPr>
              <w:jc w:val="right"/>
              <w:ind w:right="681"/>
              <w:spacing w:after="0"/>
              <w:rPr>
                <w:sz w:val="20"/>
                <w:szCs w:val="20"/>
                <w:color w:val="auto"/>
              </w:rPr>
            </w:pPr>
            <w:r>
              <w:rPr>
                <w:rFonts w:ascii="Arial" w:cs="Arial" w:eastAsia="Arial" w:hAnsi="Arial"/>
                <w:sz w:val="12"/>
                <w:szCs w:val="12"/>
                <w:b w:val="1"/>
                <w:bCs w:val="1"/>
                <w:color w:val="auto"/>
              </w:rPr>
              <w:t>24%</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25%</w:t>
            </w:r>
          </w:p>
        </w:tc>
        <w:tc>
          <w:tcPr>
            <w:tcW w:w="1000" w:type="dxa"/>
            <w:vAlign w:val="bottom"/>
          </w:tcPr>
          <w:p>
            <w:pPr>
              <w:ind w:left="740"/>
              <w:spacing w:after="0"/>
              <w:rPr>
                <w:sz w:val="20"/>
                <w:szCs w:val="20"/>
                <w:color w:val="auto"/>
              </w:rPr>
            </w:pPr>
            <w:r>
              <w:rPr>
                <w:rFonts w:ascii="Arial" w:cs="Arial" w:eastAsia="Arial" w:hAnsi="Arial"/>
                <w:sz w:val="12"/>
                <w:szCs w:val="12"/>
                <w:b w:val="1"/>
                <w:bCs w:val="1"/>
                <w:color w:val="auto"/>
                <w:w w:val="89"/>
              </w:rPr>
              <w:t>$684</w:t>
            </w:r>
          </w:p>
        </w:tc>
        <w:tc>
          <w:tcPr>
            <w:tcW w:w="0" w:type="dxa"/>
            <w:vAlign w:val="bottom"/>
          </w:tcPr>
          <w:p>
            <w:pPr>
              <w:spacing w:after="0"/>
              <w:rPr>
                <w:sz w:val="1"/>
                <w:szCs w:val="1"/>
                <w:color w:val="auto"/>
              </w:rPr>
            </w:pPr>
          </w:p>
        </w:tc>
      </w:tr>
      <w:tr>
        <w:trPr>
          <w:trHeight w:val="59"/>
        </w:trPr>
        <w:tc>
          <w:tcPr>
            <w:tcW w:w="102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$614</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020" w:type="dxa"/>
            <w:vAlign w:val="bottom"/>
          </w:tcPr>
          <w:p>
            <w:pPr>
              <w:jc w:val="right"/>
              <w:ind w:right="701"/>
              <w:spacing w:after="0"/>
              <w:rPr>
                <w:sz w:val="20"/>
                <w:szCs w:val="20"/>
                <w:color w:val="auto"/>
              </w:rPr>
            </w:pPr>
            <w:r>
              <w:rPr>
                <w:rFonts w:ascii="Arial" w:cs="Arial" w:eastAsia="Arial" w:hAnsi="Arial"/>
                <w:sz w:val="12"/>
                <w:szCs w:val="12"/>
                <w:b w:val="1"/>
                <w:bCs w:val="1"/>
                <w:color w:val="auto"/>
                <w:w w:val="89"/>
              </w:rPr>
              <w:t>$535</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20" w:type="dxa"/>
            <w:vAlign w:val="bottom"/>
          </w:tcPr>
          <w:p>
            <w:pPr>
              <w:jc w:val="right"/>
              <w:ind w:right="681"/>
              <w:spacing w:after="0"/>
              <w:rPr>
                <w:sz w:val="20"/>
                <w:szCs w:val="20"/>
                <w:color w:val="auto"/>
              </w:rPr>
            </w:pPr>
            <w:r>
              <w:rPr>
                <w:rFonts w:ascii="Arial" w:cs="Arial" w:eastAsia="Arial" w:hAnsi="Arial"/>
                <w:sz w:val="12"/>
                <w:szCs w:val="12"/>
                <w:color w:val="auto"/>
                <w:w w:val="97"/>
              </w:rPr>
              <w:t>2005</w:t>
            </w:r>
          </w:p>
        </w:tc>
        <w:tc>
          <w:tcPr>
            <w:tcW w:w="1780" w:type="dxa"/>
            <w:vAlign w:val="bottom"/>
          </w:tcPr>
          <w:p>
            <w:pPr>
              <w:jc w:val="right"/>
              <w:ind w:right="701"/>
              <w:spacing w:after="0"/>
              <w:rPr>
                <w:sz w:val="20"/>
                <w:szCs w:val="20"/>
                <w:color w:val="auto"/>
              </w:rPr>
            </w:pPr>
            <w:r>
              <w:rPr>
                <w:rFonts w:ascii="Arial" w:cs="Arial" w:eastAsia="Arial" w:hAnsi="Arial"/>
                <w:sz w:val="12"/>
                <w:szCs w:val="12"/>
                <w:color w:val="auto"/>
              </w:rPr>
              <w:t>2006</w:t>
            </w:r>
          </w:p>
        </w:tc>
        <w:tc>
          <w:tcPr>
            <w:tcW w:w="1000" w:type="dxa"/>
            <w:vAlign w:val="bottom"/>
          </w:tcPr>
          <w:p>
            <w:pPr>
              <w:ind w:left="740"/>
              <w:spacing w:after="0"/>
              <w:rPr>
                <w:sz w:val="20"/>
                <w:szCs w:val="20"/>
                <w:color w:val="auto"/>
              </w:rPr>
            </w:pPr>
            <w:r>
              <w:rPr>
                <w:rFonts w:ascii="Arial" w:cs="Arial" w:eastAsia="Arial" w:hAnsi="Arial"/>
                <w:sz w:val="12"/>
                <w:szCs w:val="12"/>
                <w:color w:val="auto"/>
                <w:w w:val="89"/>
              </w:rPr>
              <w:t>2007</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7</w:t>
      </w:r>
    </w:p>
    <w:p>
      <w:pPr>
        <w:sectPr>
          <w:pgSz w:w="11900" w:h="16838" w:orient="portrait"/>
          <w:cols w:equalWidth="0" w:num="2">
            <w:col w:w="4860" w:space="720"/>
            <w:col w:w="4740"/>
          </w:cols>
          <w:pgMar w:left="600" w:top="174" w:right="979" w:bottom="1440" w:gutter="0" w:footer="0" w:header="0"/>
          <w:type w:val="continuous"/>
        </w:sectPr>
      </w:pPr>
    </w:p>
    <w:bookmarkStart w:id="20" w:name="page21"/>
    <w:bookmarkEnd w:id="20"/>
    <w:p>
      <w:pPr>
        <w:ind w:left="220"/>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Overview of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179070</wp:posOffset>
            </wp:positionV>
            <wp:extent cx="6615430" cy="4705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5430" cy="4705985"/>
                    </a:xfrm>
                    <a:prstGeom prst="rect">
                      <a:avLst/>
                    </a:prstGeom>
                    <a:noFill/>
                  </pic:spPr>
                </pic:pic>
              </a:graphicData>
            </a:graphic>
          </wp:anchor>
        </w:drawing>
      </w:r>
    </w:p>
    <w:p>
      <w:pPr>
        <w:spacing w:after="0" w:line="290" w:lineRule="exact"/>
        <w:rPr>
          <w:sz w:val="20"/>
          <w:szCs w:val="20"/>
          <w:color w:val="auto"/>
        </w:rPr>
      </w:pPr>
    </w:p>
    <w:tbl>
      <w:tblPr>
        <w:tblLayout w:type="fixed"/>
        <w:tblInd w:w="640" w:type="dxa"/>
        <w:tblCellMar>
          <w:top w:w="0" w:type="dxa"/>
          <w:left w:w="0" w:type="dxa"/>
          <w:bottom w:w="0" w:type="dxa"/>
          <w:right w:w="0" w:type="dxa"/>
        </w:tblCellMar>
      </w:tblPr>
      <w:tr>
        <w:trPr>
          <w:trHeight w:val="296"/>
        </w:trPr>
        <w:tc>
          <w:tcPr>
            <w:tcW w:w="4680" w:type="dxa"/>
            <w:vAlign w:val="bottom"/>
          </w:tcPr>
          <w:p>
            <w:pPr>
              <w:ind w:left="920"/>
              <w:spacing w:after="0"/>
              <w:rPr>
                <w:sz w:val="20"/>
                <w:szCs w:val="20"/>
                <w:color w:val="auto"/>
              </w:rPr>
            </w:pPr>
            <w:r>
              <w:rPr>
                <w:rFonts w:ascii="Arial" w:cs="Arial" w:eastAsia="Arial" w:hAnsi="Arial"/>
                <w:sz w:val="22"/>
                <w:szCs w:val="22"/>
                <w:b w:val="1"/>
                <w:bCs w:val="1"/>
                <w:color w:val="132647"/>
              </w:rPr>
              <w:t>2007 REVENUE BY PRODUCT</w:t>
            </w:r>
          </w:p>
        </w:tc>
        <w:tc>
          <w:tcPr>
            <w:tcW w:w="780" w:type="dxa"/>
            <w:vAlign w:val="bottom"/>
          </w:tcPr>
          <w:p>
            <w:pPr>
              <w:spacing w:after="0"/>
              <w:rPr>
                <w:sz w:val="24"/>
                <w:szCs w:val="24"/>
                <w:color w:val="auto"/>
              </w:rPr>
            </w:pPr>
          </w:p>
        </w:tc>
        <w:tc>
          <w:tcPr>
            <w:tcW w:w="3800" w:type="dxa"/>
            <w:vAlign w:val="bottom"/>
            <w:gridSpan w:val="3"/>
          </w:tcPr>
          <w:p>
            <w:pPr>
              <w:ind w:left="20"/>
              <w:spacing w:after="0"/>
              <w:rPr>
                <w:sz w:val="20"/>
                <w:szCs w:val="20"/>
                <w:color w:val="auto"/>
              </w:rPr>
            </w:pPr>
            <w:r>
              <w:rPr>
                <w:rFonts w:ascii="Arial" w:cs="Arial" w:eastAsia="Arial" w:hAnsi="Arial"/>
                <w:sz w:val="22"/>
                <w:szCs w:val="22"/>
                <w:b w:val="1"/>
                <w:bCs w:val="1"/>
                <w:color w:val="132647"/>
                <w:w w:val="99"/>
              </w:rPr>
              <w:t xml:space="preserve">CASH FLOW FROM OPERATIONS </w:t>
            </w:r>
            <w:r>
              <w:rPr>
                <w:rFonts w:ascii="Arial" w:cs="Arial" w:eastAsia="Arial" w:hAnsi="Arial"/>
                <w:sz w:val="14"/>
                <w:szCs w:val="14"/>
                <w:b w:val="1"/>
                <w:bCs w:val="1"/>
                <w:color w:val="132647"/>
                <w:w w:val="99"/>
              </w:rPr>
              <w:t>(1)</w:t>
            </w:r>
          </w:p>
        </w:tc>
        <w:tc>
          <w:tcPr>
            <w:tcW w:w="0" w:type="dxa"/>
            <w:vAlign w:val="bottom"/>
          </w:tcPr>
          <w:p>
            <w:pPr>
              <w:spacing w:after="0"/>
              <w:rPr>
                <w:sz w:val="1"/>
                <w:szCs w:val="1"/>
                <w:color w:val="auto"/>
              </w:rPr>
            </w:pPr>
          </w:p>
        </w:tc>
      </w:tr>
      <w:tr>
        <w:trPr>
          <w:trHeight w:val="356"/>
        </w:trPr>
        <w:tc>
          <w:tcPr>
            <w:tcW w:w="4680" w:type="dxa"/>
            <w:vAlign w:val="bottom"/>
          </w:tcPr>
          <w:p>
            <w:pPr>
              <w:spacing w:after="0"/>
              <w:rPr>
                <w:sz w:val="24"/>
                <w:szCs w:val="24"/>
                <w:color w:val="auto"/>
              </w:rPr>
            </w:pPr>
          </w:p>
        </w:tc>
        <w:tc>
          <w:tcPr>
            <w:tcW w:w="2220" w:type="dxa"/>
            <w:vAlign w:val="bottom"/>
            <w:gridSpan w:val="2"/>
          </w:tcPr>
          <w:p>
            <w:pPr>
              <w:ind w:left="420"/>
              <w:spacing w:after="0"/>
              <w:rPr>
                <w:sz w:val="20"/>
                <w:szCs w:val="20"/>
                <w:color w:val="auto"/>
              </w:rPr>
            </w:pPr>
            <w:r>
              <w:rPr>
                <w:rFonts w:ascii="Arial" w:cs="Arial" w:eastAsia="Arial" w:hAnsi="Arial"/>
                <w:sz w:val="15"/>
                <w:szCs w:val="15"/>
                <w:b w:val="1"/>
                <w:bCs w:val="1"/>
                <w:i w:val="1"/>
                <w:iCs w:val="1"/>
                <w:color w:val="132647"/>
              </w:rPr>
              <w:t>($ in millions)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680" w:type="dxa"/>
            <w:vAlign w:val="bottom"/>
          </w:tcPr>
          <w:p>
            <w:pPr>
              <w:jc w:val="center"/>
              <w:ind w:right="1611"/>
              <w:spacing w:after="0"/>
              <w:rPr>
                <w:sz w:val="20"/>
                <w:szCs w:val="20"/>
                <w:color w:val="auto"/>
              </w:rPr>
            </w:pPr>
            <w:r>
              <w:rPr>
                <w:rFonts w:ascii="Arial" w:cs="Arial" w:eastAsia="Arial" w:hAnsi="Arial"/>
                <w:sz w:val="13"/>
                <w:szCs w:val="13"/>
                <w:color w:val="auto"/>
                <w:w w:val="98"/>
              </w:rPr>
              <w:t>Reinsurance</w:t>
            </w:r>
          </w:p>
        </w:tc>
        <w:tc>
          <w:tcPr>
            <w:tcW w:w="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80" w:type="dxa"/>
            <w:vAlign w:val="bottom"/>
          </w:tcPr>
          <w:p>
            <w:pPr>
              <w:jc w:val="right"/>
              <w:ind w:right="2991"/>
              <w:spacing w:after="0" w:line="139" w:lineRule="exact"/>
              <w:rPr>
                <w:sz w:val="20"/>
                <w:szCs w:val="20"/>
                <w:color w:val="auto"/>
              </w:rPr>
            </w:pPr>
            <w:r>
              <w:rPr>
                <w:rFonts w:ascii="Arial" w:cs="Arial" w:eastAsia="Arial" w:hAnsi="Arial"/>
                <w:sz w:val="13"/>
                <w:szCs w:val="13"/>
                <w:color w:val="auto"/>
              </w:rPr>
              <w:t>15%</w:t>
            </w: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vMerge w:val="restart"/>
          </w:tcPr>
          <w:p>
            <w:pPr>
              <w:ind w:left="500"/>
              <w:spacing w:after="0"/>
              <w:rPr>
                <w:sz w:val="20"/>
                <w:szCs w:val="20"/>
                <w:color w:val="auto"/>
              </w:rPr>
            </w:pPr>
            <w:r>
              <w:rPr>
                <w:rFonts w:ascii="Arial" w:cs="Arial" w:eastAsia="Arial" w:hAnsi="Arial"/>
                <w:sz w:val="18"/>
                <w:szCs w:val="18"/>
                <w:b w:val="1"/>
                <w:bCs w:val="1"/>
                <w:color w:val="003366"/>
              </w:rPr>
              <w:t>392</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80" w:type="dxa"/>
            <w:vAlign w:val="bottom"/>
          </w:tcPr>
          <w:p>
            <w:pPr>
              <w:jc w:val="center"/>
              <w:ind w:right="3271"/>
              <w:spacing w:after="0"/>
              <w:rPr>
                <w:sz w:val="20"/>
                <w:szCs w:val="20"/>
                <w:color w:val="auto"/>
              </w:rPr>
            </w:pPr>
            <w:r>
              <w:rPr>
                <w:rFonts w:ascii="Arial" w:cs="Arial" w:eastAsia="Arial" w:hAnsi="Arial"/>
                <w:sz w:val="13"/>
                <w:szCs w:val="13"/>
                <w:color w:val="auto"/>
              </w:rPr>
              <w:t>Employee</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400</w:t>
            </w:r>
          </w:p>
        </w:tc>
        <w:tc>
          <w:tcPr>
            <w:tcW w:w="14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40" w:type="dxa"/>
            <w:vAlign w:val="bottom"/>
            <w:vMerge w:val="restart"/>
          </w:tcPr>
          <w:p>
            <w:pPr>
              <w:ind w:left="500"/>
              <w:spacing w:after="0"/>
              <w:rPr>
                <w:sz w:val="20"/>
                <w:szCs w:val="20"/>
                <w:color w:val="auto"/>
              </w:rPr>
            </w:pPr>
            <w:r>
              <w:rPr>
                <w:rFonts w:ascii="Arial" w:cs="Arial" w:eastAsia="Arial" w:hAnsi="Arial"/>
                <w:sz w:val="18"/>
                <w:szCs w:val="18"/>
                <w:b w:val="1"/>
                <w:bCs w:val="1"/>
                <w:color w:val="003366"/>
              </w:rPr>
              <w:t>388</w:t>
            </w:r>
          </w:p>
        </w:tc>
        <w:tc>
          <w:tcPr>
            <w:tcW w:w="0" w:type="dxa"/>
            <w:vAlign w:val="bottom"/>
          </w:tcPr>
          <w:p>
            <w:pPr>
              <w:spacing w:after="0"/>
              <w:rPr>
                <w:sz w:val="1"/>
                <w:szCs w:val="1"/>
                <w:color w:val="auto"/>
              </w:rPr>
            </w:pPr>
          </w:p>
        </w:tc>
      </w:tr>
      <w:tr>
        <w:trPr>
          <w:trHeight w:val="162"/>
        </w:trPr>
        <w:tc>
          <w:tcPr>
            <w:tcW w:w="4680" w:type="dxa"/>
            <w:vAlign w:val="bottom"/>
          </w:tcPr>
          <w:p>
            <w:pPr>
              <w:jc w:val="center"/>
              <w:ind w:right="3271"/>
              <w:spacing w:after="0"/>
              <w:rPr>
                <w:sz w:val="20"/>
                <w:szCs w:val="20"/>
                <w:color w:val="auto"/>
              </w:rPr>
            </w:pPr>
            <w:r>
              <w:rPr>
                <w:rFonts w:ascii="Arial" w:cs="Arial" w:eastAsia="Arial" w:hAnsi="Arial"/>
                <w:sz w:val="13"/>
                <w:szCs w:val="13"/>
                <w:color w:val="auto"/>
                <w:w w:val="97"/>
              </w:rPr>
              <w:t>Benefits</w:t>
            </w:r>
          </w:p>
        </w:tc>
        <w:tc>
          <w:tcPr>
            <w:tcW w:w="78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jc w:val="center"/>
              <w:ind w:right="3271"/>
              <w:spacing w:after="0"/>
              <w:rPr>
                <w:sz w:val="20"/>
                <w:szCs w:val="20"/>
                <w:color w:val="auto"/>
              </w:rPr>
            </w:pPr>
            <w:r>
              <w:rPr>
                <w:rFonts w:ascii="Arial" w:cs="Arial" w:eastAsia="Arial" w:hAnsi="Arial"/>
                <w:sz w:val="13"/>
                <w:szCs w:val="13"/>
                <w:color w:val="auto"/>
                <w:w w:val="99"/>
              </w:rPr>
              <w:t>10%</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380</w:t>
            </w:r>
          </w:p>
        </w:tc>
        <w:tc>
          <w:tcPr>
            <w:tcW w:w="1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tcPr>
          <w:p>
            <w:pPr>
              <w:jc w:val="center"/>
              <w:ind w:right="3751"/>
              <w:spacing w:after="0"/>
              <w:rPr>
                <w:sz w:val="20"/>
                <w:szCs w:val="20"/>
                <w:color w:val="auto"/>
              </w:rPr>
            </w:pPr>
            <w:r>
              <w:rPr>
                <w:rFonts w:ascii="Arial" w:cs="Arial" w:eastAsia="Arial" w:hAnsi="Arial"/>
                <w:sz w:val="13"/>
                <w:szCs w:val="13"/>
                <w:color w:val="auto"/>
                <w:w w:val="99"/>
              </w:rPr>
              <w:t>Personal Lines</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360</w:t>
            </w: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680" w:type="dxa"/>
            <w:vAlign w:val="bottom"/>
          </w:tcPr>
          <w:p>
            <w:pPr>
              <w:jc w:val="right"/>
              <w:ind w:right="4091"/>
              <w:spacing w:after="0"/>
              <w:rPr>
                <w:sz w:val="20"/>
                <w:szCs w:val="20"/>
                <w:color w:val="auto"/>
              </w:rPr>
            </w:pPr>
            <w:r>
              <w:rPr>
                <w:rFonts w:ascii="Arial" w:cs="Arial" w:eastAsia="Arial" w:hAnsi="Arial"/>
                <w:sz w:val="13"/>
                <w:szCs w:val="13"/>
                <w:color w:val="auto"/>
              </w:rPr>
              <w:t>1%</w:t>
            </w:r>
          </w:p>
        </w:tc>
        <w:tc>
          <w:tcPr>
            <w:tcW w:w="7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4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FFFFFF"/>
              </w:rPr>
              <w:t>340</w:t>
            </w:r>
          </w:p>
        </w:tc>
        <w:tc>
          <w:tcPr>
            <w:tcW w:w="1440" w:type="dxa"/>
            <w:vAlign w:val="bottom"/>
          </w:tcPr>
          <w:p>
            <w:pPr>
              <w:ind w:left="620"/>
              <w:spacing w:after="0"/>
              <w:rPr>
                <w:sz w:val="20"/>
                <w:szCs w:val="20"/>
                <w:color w:val="auto"/>
              </w:rPr>
            </w:pPr>
            <w:r>
              <w:rPr>
                <w:rFonts w:ascii="Arial" w:cs="Arial" w:eastAsia="Arial" w:hAnsi="Arial"/>
                <w:sz w:val="18"/>
                <w:szCs w:val="18"/>
                <w:b w:val="1"/>
                <w:bCs w:val="1"/>
                <w:color w:val="003366"/>
              </w:rPr>
              <w:t>330</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FFFFFF"/>
              </w:rPr>
              <w:t>320</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80" w:type="dxa"/>
            <w:vAlign w:val="bottom"/>
          </w:tcPr>
          <w:p>
            <w:pPr>
              <w:jc w:val="center"/>
              <w:ind w:left="3051"/>
              <w:spacing w:after="0"/>
              <w:rPr>
                <w:sz w:val="20"/>
                <w:szCs w:val="20"/>
                <w:color w:val="auto"/>
              </w:rPr>
            </w:pPr>
            <w:r>
              <w:rPr>
                <w:rFonts w:ascii="Arial" w:cs="Arial" w:eastAsia="Arial" w:hAnsi="Arial"/>
                <w:sz w:val="13"/>
                <w:szCs w:val="13"/>
                <w:color w:val="auto"/>
                <w:w w:val="98"/>
              </w:rPr>
              <w:t>Commercial</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300</w:t>
            </w: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80" w:type="dxa"/>
            <w:vAlign w:val="bottom"/>
          </w:tcPr>
          <w:p>
            <w:pPr>
              <w:jc w:val="center"/>
              <w:ind w:left="3031"/>
              <w:spacing w:after="0"/>
              <w:rPr>
                <w:sz w:val="20"/>
                <w:szCs w:val="20"/>
                <w:color w:val="auto"/>
              </w:rPr>
            </w:pPr>
            <w:r>
              <w:rPr>
                <w:rFonts w:ascii="Arial" w:cs="Arial" w:eastAsia="Arial" w:hAnsi="Arial"/>
                <w:sz w:val="13"/>
                <w:szCs w:val="13"/>
                <w:color w:val="auto"/>
                <w:w w:val="97"/>
              </w:rPr>
              <w:t>P&amp;C</w:t>
            </w:r>
          </w:p>
        </w:tc>
        <w:tc>
          <w:tcPr>
            <w:tcW w:w="78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jc w:val="center"/>
              <w:ind w:left="3031"/>
              <w:spacing w:after="0"/>
              <w:rPr>
                <w:sz w:val="20"/>
                <w:szCs w:val="20"/>
                <w:color w:val="auto"/>
              </w:rPr>
            </w:pPr>
            <w:r>
              <w:rPr>
                <w:rFonts w:ascii="Arial" w:cs="Arial" w:eastAsia="Arial" w:hAnsi="Arial"/>
                <w:sz w:val="13"/>
                <w:szCs w:val="13"/>
                <w:color w:val="auto"/>
                <w:w w:val="99"/>
              </w:rPr>
              <w:t>74%</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280</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ind w:left="580"/>
              <w:spacing w:after="0"/>
              <w:rPr>
                <w:sz w:val="20"/>
                <w:szCs w:val="20"/>
                <w:color w:val="auto"/>
              </w:rPr>
            </w:pPr>
            <w:r>
              <w:rPr>
                <w:rFonts w:ascii="Arial" w:cs="Arial" w:eastAsia="Arial" w:hAnsi="Arial"/>
                <w:sz w:val="18"/>
                <w:szCs w:val="18"/>
                <w:b w:val="1"/>
                <w:bCs w:val="1"/>
                <w:color w:val="003366"/>
              </w:rPr>
              <w:t>2005</w:t>
            </w:r>
          </w:p>
        </w:tc>
        <w:tc>
          <w:tcPr>
            <w:tcW w:w="1320" w:type="dxa"/>
            <w:vAlign w:val="bottom"/>
          </w:tcPr>
          <w:p>
            <w:pPr>
              <w:ind w:left="460"/>
              <w:spacing w:after="0"/>
              <w:rPr>
                <w:sz w:val="20"/>
                <w:szCs w:val="20"/>
                <w:color w:val="auto"/>
              </w:rPr>
            </w:pPr>
            <w:r>
              <w:rPr>
                <w:rFonts w:ascii="Arial" w:cs="Arial" w:eastAsia="Arial" w:hAnsi="Arial"/>
                <w:sz w:val="18"/>
                <w:szCs w:val="18"/>
                <w:b w:val="1"/>
                <w:bCs w:val="1"/>
                <w:color w:val="003366"/>
              </w:rPr>
              <w:t>2006</w:t>
            </w:r>
          </w:p>
        </w:tc>
        <w:tc>
          <w:tcPr>
            <w:tcW w:w="1040" w:type="dxa"/>
            <w:vAlign w:val="bottom"/>
          </w:tcPr>
          <w:p>
            <w:pPr>
              <w:ind w:left="460"/>
              <w:spacing w:after="0"/>
              <w:rPr>
                <w:sz w:val="20"/>
                <w:szCs w:val="20"/>
                <w:color w:val="auto"/>
              </w:rPr>
            </w:pPr>
            <w:r>
              <w:rPr>
                <w:rFonts w:ascii="Arial" w:cs="Arial" w:eastAsia="Arial" w:hAnsi="Arial"/>
                <w:sz w:val="18"/>
                <w:szCs w:val="18"/>
                <w:b w:val="1"/>
                <w:bCs w:val="1"/>
                <w:color w:val="003366"/>
              </w:rPr>
              <w:t>2007</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132647"/>
        </w:rPr>
        <w:t>2007 Total Revenues: $2,578 million</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132647"/>
        </w:rPr>
        <w:t>SERVICES AND CLIENTS</w:t>
      </w:r>
    </w:p>
    <w:p>
      <w:pPr>
        <w:sectPr>
          <w:pgSz w:w="11900" w:h="16838" w:orient="portrait"/>
          <w:cols w:equalWidth="0" w:num="1">
            <w:col w:w="10600"/>
          </w:cols>
          <w:pgMar w:left="440" w:top="174" w:right="8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880" w:hanging="195"/>
        <w:spacing w:after="0"/>
        <w:tabs>
          <w:tab w:leader="none" w:pos="1880" w:val="left"/>
        </w:tabs>
        <w:numPr>
          <w:ilvl w:val="0"/>
          <w:numId w:val="7"/>
        </w:numPr>
        <w:rPr>
          <w:rFonts w:ascii="Arial" w:cs="Arial" w:eastAsia="Arial" w:hAnsi="Arial"/>
          <w:sz w:val="22"/>
          <w:szCs w:val="22"/>
          <w:color w:val="132647"/>
        </w:rPr>
      </w:pPr>
      <w:r>
        <w:rPr>
          <w:rFonts w:ascii="Arial" w:cs="Arial" w:eastAsia="Arial" w:hAnsi="Arial"/>
          <w:sz w:val="22"/>
          <w:szCs w:val="22"/>
          <w:color w:val="132647"/>
        </w:rPr>
        <w:t>Employee benefits</w:t>
      </w:r>
    </w:p>
    <w:p>
      <w:pPr>
        <w:spacing w:after="0" w:line="146" w:lineRule="exact"/>
        <w:rPr>
          <w:rFonts w:ascii="Arial" w:cs="Arial" w:eastAsia="Arial" w:hAnsi="Arial"/>
          <w:sz w:val="22"/>
          <w:szCs w:val="22"/>
          <w:color w:val="132647"/>
        </w:rPr>
      </w:pPr>
    </w:p>
    <w:p>
      <w:pPr>
        <w:ind w:left="1880" w:hanging="195"/>
        <w:spacing w:after="0"/>
        <w:tabs>
          <w:tab w:leader="none" w:pos="1880" w:val="left"/>
        </w:tabs>
        <w:numPr>
          <w:ilvl w:val="0"/>
          <w:numId w:val="7"/>
        </w:numPr>
        <w:rPr>
          <w:rFonts w:ascii="Arial" w:cs="Arial" w:eastAsia="Arial" w:hAnsi="Arial"/>
          <w:sz w:val="22"/>
          <w:szCs w:val="22"/>
          <w:color w:val="132647"/>
        </w:rPr>
      </w:pPr>
      <w:r>
        <w:rPr>
          <w:rFonts w:ascii="Arial" w:cs="Arial" w:eastAsia="Arial" w:hAnsi="Arial"/>
          <w:sz w:val="22"/>
          <w:szCs w:val="22"/>
          <w:color w:val="132647"/>
        </w:rPr>
        <w:t>Reinsurance</w:t>
      </w:r>
    </w:p>
    <w:p>
      <w:pPr>
        <w:spacing w:after="0" w:line="134" w:lineRule="exact"/>
        <w:rPr>
          <w:rFonts w:ascii="Arial" w:cs="Arial" w:eastAsia="Arial" w:hAnsi="Arial"/>
          <w:sz w:val="22"/>
          <w:szCs w:val="22"/>
          <w:color w:val="132647"/>
        </w:rPr>
      </w:pPr>
    </w:p>
    <w:p>
      <w:pPr>
        <w:ind w:left="1880" w:hanging="195"/>
        <w:spacing w:after="0"/>
        <w:tabs>
          <w:tab w:leader="none" w:pos="1880" w:val="left"/>
        </w:tabs>
        <w:numPr>
          <w:ilvl w:val="0"/>
          <w:numId w:val="7"/>
        </w:numPr>
        <w:rPr>
          <w:rFonts w:ascii="Arial" w:cs="Arial" w:eastAsia="Arial" w:hAnsi="Arial"/>
          <w:sz w:val="22"/>
          <w:szCs w:val="22"/>
          <w:color w:val="132647"/>
        </w:rPr>
      </w:pPr>
      <w:r>
        <w:rPr>
          <w:rFonts w:ascii="Arial" w:cs="Arial" w:eastAsia="Arial" w:hAnsi="Arial"/>
          <w:sz w:val="22"/>
          <w:szCs w:val="22"/>
          <w:color w:val="132647"/>
        </w:rPr>
        <w:t>Property &amp; casualty</w:t>
      </w:r>
    </w:p>
    <w:p>
      <w:pPr>
        <w:spacing w:after="0" w:line="26" w:lineRule="exact"/>
        <w:rPr>
          <w:sz w:val="20"/>
          <w:szCs w:val="20"/>
          <w:color w:val="auto"/>
        </w:rPr>
      </w:pPr>
    </w:p>
    <w:tbl>
      <w:tblPr>
        <w:tblLayout w:type="fixed"/>
        <w:tblInd w:w="1960" w:type="dxa"/>
        <w:tblCellMar>
          <w:top w:w="0" w:type="dxa"/>
          <w:left w:w="0" w:type="dxa"/>
          <w:bottom w:w="0" w:type="dxa"/>
          <w:right w:w="0" w:type="dxa"/>
        </w:tblCellMar>
      </w:tblPr>
      <w:tr>
        <w:trPr>
          <w:trHeight w:val="250"/>
        </w:trPr>
        <w:tc>
          <w:tcPr>
            <w:tcW w:w="1480" w:type="dxa"/>
            <w:vAlign w:val="bottom"/>
          </w:tcPr>
          <w:p>
            <w:pPr>
              <w:spacing w:after="0"/>
              <w:rPr>
                <w:sz w:val="20"/>
                <w:szCs w:val="20"/>
                <w:color w:val="auto"/>
              </w:rPr>
            </w:pPr>
            <w:r>
              <w:rPr>
                <w:rFonts w:ascii="Arial" w:cs="Arial" w:eastAsia="Arial" w:hAnsi="Arial"/>
                <w:sz w:val="19"/>
                <w:szCs w:val="19"/>
                <w:color w:val="132647"/>
              </w:rPr>
              <w:t>• Energy</w:t>
            </w:r>
          </w:p>
        </w:tc>
        <w:tc>
          <w:tcPr>
            <w:tcW w:w="1520" w:type="dxa"/>
            <w:vAlign w:val="bottom"/>
          </w:tcPr>
          <w:p>
            <w:pPr>
              <w:ind w:left="280"/>
              <w:spacing w:after="0"/>
              <w:rPr>
                <w:sz w:val="20"/>
                <w:szCs w:val="20"/>
                <w:color w:val="auto"/>
              </w:rPr>
            </w:pPr>
            <w:r>
              <w:rPr>
                <w:rFonts w:ascii="Arial" w:cs="Arial" w:eastAsia="Arial" w:hAnsi="Arial"/>
                <w:sz w:val="19"/>
                <w:szCs w:val="19"/>
                <w:color w:val="132647"/>
              </w:rPr>
              <w:t>• Marine</w:t>
            </w:r>
          </w:p>
        </w:tc>
        <w:tc>
          <w:tcPr>
            <w:tcW w:w="0" w:type="dxa"/>
            <w:vAlign w:val="bottom"/>
          </w:tcPr>
          <w:p>
            <w:pPr>
              <w:spacing w:after="0"/>
              <w:rPr>
                <w:sz w:val="1"/>
                <w:szCs w:val="1"/>
                <w:color w:val="auto"/>
              </w:rPr>
            </w:pPr>
          </w:p>
        </w:tc>
      </w:tr>
      <w:tr>
        <w:trPr>
          <w:trHeight w:val="220"/>
        </w:trPr>
        <w:tc>
          <w:tcPr>
            <w:tcW w:w="1480" w:type="dxa"/>
            <w:vAlign w:val="bottom"/>
          </w:tcPr>
          <w:p>
            <w:pPr>
              <w:spacing w:after="0"/>
              <w:rPr>
                <w:sz w:val="20"/>
                <w:szCs w:val="20"/>
                <w:color w:val="auto"/>
              </w:rPr>
            </w:pPr>
            <w:r>
              <w:rPr>
                <w:rFonts w:ascii="Arial" w:cs="Arial" w:eastAsia="Arial" w:hAnsi="Arial"/>
                <w:sz w:val="19"/>
                <w:szCs w:val="19"/>
                <w:color w:val="132647"/>
              </w:rPr>
              <w:t>• Construction</w:t>
            </w:r>
          </w:p>
        </w:tc>
        <w:tc>
          <w:tcPr>
            <w:tcW w:w="1520" w:type="dxa"/>
            <w:vAlign w:val="bottom"/>
          </w:tcPr>
          <w:p>
            <w:pPr>
              <w:ind w:left="280"/>
              <w:spacing w:after="0"/>
              <w:rPr>
                <w:sz w:val="20"/>
                <w:szCs w:val="20"/>
                <w:color w:val="auto"/>
              </w:rPr>
            </w:pPr>
            <w:r>
              <w:rPr>
                <w:rFonts w:ascii="Arial" w:cs="Arial" w:eastAsia="Arial" w:hAnsi="Arial"/>
                <w:sz w:val="19"/>
                <w:szCs w:val="19"/>
                <w:color w:val="132647"/>
                <w:w w:val="97"/>
              </w:rPr>
              <w:t>• Financial and</w:t>
            </w:r>
          </w:p>
        </w:tc>
        <w:tc>
          <w:tcPr>
            <w:tcW w:w="0" w:type="dxa"/>
            <w:vAlign w:val="bottom"/>
          </w:tcPr>
          <w:p>
            <w:pPr>
              <w:spacing w:after="0"/>
              <w:rPr>
                <w:sz w:val="1"/>
                <w:szCs w:val="1"/>
                <w:color w:val="auto"/>
              </w:rPr>
            </w:pPr>
          </w:p>
        </w:tc>
      </w:tr>
      <w:tr>
        <w:trPr>
          <w:trHeight w:val="226"/>
        </w:trPr>
        <w:tc>
          <w:tcPr>
            <w:tcW w:w="1480" w:type="dxa"/>
            <w:vAlign w:val="bottom"/>
            <w:vMerge w:val="restart"/>
          </w:tcPr>
          <w:p>
            <w:pPr>
              <w:spacing w:after="0"/>
              <w:rPr>
                <w:sz w:val="20"/>
                <w:szCs w:val="20"/>
                <w:color w:val="auto"/>
              </w:rPr>
            </w:pPr>
            <w:r>
              <w:rPr>
                <w:rFonts w:ascii="Arial" w:cs="Arial" w:eastAsia="Arial" w:hAnsi="Arial"/>
                <w:sz w:val="19"/>
                <w:szCs w:val="19"/>
                <w:color w:val="132647"/>
              </w:rPr>
              <w:t>• Aerospace</w:t>
            </w:r>
          </w:p>
        </w:tc>
        <w:tc>
          <w:tcPr>
            <w:tcW w:w="1520" w:type="dxa"/>
            <w:vAlign w:val="bottom"/>
          </w:tcPr>
          <w:p>
            <w:pPr>
              <w:ind w:left="280"/>
              <w:spacing w:after="0"/>
              <w:rPr>
                <w:sz w:val="20"/>
                <w:szCs w:val="20"/>
                <w:color w:val="auto"/>
              </w:rPr>
            </w:pPr>
            <w:r>
              <w:rPr>
                <w:rFonts w:ascii="Arial" w:cs="Arial" w:eastAsia="Arial" w:hAnsi="Arial"/>
                <w:sz w:val="19"/>
                <w:szCs w:val="19"/>
                <w:color w:val="132647"/>
                <w:w w:val="97"/>
              </w:rPr>
              <w:t>Executive Risk</w:t>
            </w: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0"/>
                <w:szCs w:val="20"/>
                <w:color w:val="auto"/>
              </w:rPr>
            </w:pPr>
            <w:r>
              <w:rPr>
                <w:rFonts w:ascii="Arial" w:cs="Arial" w:eastAsia="Arial" w:hAnsi="Arial"/>
                <w:sz w:val="19"/>
                <w:szCs w:val="19"/>
                <w:color w:val="132647"/>
              </w:rPr>
              <w:t>• Real estate</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19" w:hanging="219"/>
        <w:spacing w:after="0" w:line="238" w:lineRule="auto"/>
        <w:tabs>
          <w:tab w:leader="none" w:pos="219" w:val="left"/>
        </w:tabs>
        <w:numPr>
          <w:ilvl w:val="0"/>
          <w:numId w:val="8"/>
        </w:numPr>
        <w:rPr>
          <w:rFonts w:ascii="Arial" w:cs="Arial" w:eastAsia="Arial" w:hAnsi="Arial"/>
          <w:sz w:val="22"/>
          <w:szCs w:val="22"/>
          <w:color w:val="132647"/>
        </w:rPr>
      </w:pPr>
      <w:r>
        <w:rPr>
          <w:rFonts w:ascii="Arial" w:cs="Arial" w:eastAsia="Arial" w:hAnsi="Arial"/>
          <w:sz w:val="22"/>
          <w:szCs w:val="22"/>
          <w:color w:val="132647"/>
        </w:rPr>
        <w:t>Client base ranges from personal to multi national accounts</w:t>
      </w:r>
    </w:p>
    <w:p>
      <w:pPr>
        <w:spacing w:after="0" w:line="203" w:lineRule="exact"/>
        <w:rPr>
          <w:rFonts w:ascii="Arial" w:cs="Arial" w:eastAsia="Arial" w:hAnsi="Arial"/>
          <w:sz w:val="22"/>
          <w:szCs w:val="22"/>
          <w:color w:val="132647"/>
        </w:rPr>
      </w:pPr>
    </w:p>
    <w:p>
      <w:pPr>
        <w:ind w:left="219" w:right="400" w:hanging="219"/>
        <w:spacing w:after="0" w:line="238" w:lineRule="auto"/>
        <w:tabs>
          <w:tab w:leader="none" w:pos="219" w:val="left"/>
        </w:tabs>
        <w:numPr>
          <w:ilvl w:val="0"/>
          <w:numId w:val="8"/>
        </w:numPr>
        <w:rPr>
          <w:rFonts w:ascii="Arial" w:cs="Arial" w:eastAsia="Arial" w:hAnsi="Arial"/>
          <w:sz w:val="22"/>
          <w:szCs w:val="22"/>
          <w:color w:val="132647"/>
        </w:rPr>
      </w:pPr>
      <w:r>
        <w:rPr>
          <w:rFonts w:ascii="Arial" w:cs="Arial" w:eastAsia="Arial" w:hAnsi="Arial"/>
          <w:sz w:val="22"/>
          <w:szCs w:val="22"/>
          <w:color w:val="132647"/>
        </w:rPr>
        <w:t>Primarily comprised of middle market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59"/>
        <w:spacing w:after="0"/>
        <w:rPr>
          <w:sz w:val="20"/>
          <w:szCs w:val="20"/>
          <w:color w:val="auto"/>
        </w:rPr>
      </w:pPr>
      <w:r>
        <w:rPr>
          <w:rFonts w:ascii="Arial" w:cs="Arial" w:eastAsia="Arial" w:hAnsi="Arial"/>
          <w:sz w:val="22"/>
          <w:szCs w:val="22"/>
          <w:color w:val="132647"/>
        </w:rPr>
        <w:t>8</w:t>
      </w:r>
    </w:p>
    <w:p>
      <w:pPr>
        <w:spacing w:after="0" w:line="63" w:lineRule="exact"/>
        <w:rPr>
          <w:sz w:val="20"/>
          <w:szCs w:val="20"/>
          <w:color w:val="auto"/>
        </w:rPr>
      </w:pPr>
    </w:p>
    <w:p>
      <w:pPr>
        <w:sectPr>
          <w:pgSz w:w="11900" w:h="16838" w:orient="portrait"/>
          <w:cols w:equalWidth="0" w:num="2">
            <w:col w:w="5581" w:space="720"/>
            <w:col w:w="4299"/>
          </w:cols>
          <w:pgMar w:left="440" w:top="174" w:right="859" w:bottom="1440" w:gutter="0" w:footer="0" w:header="0"/>
          <w:type w:val="continuous"/>
        </w:sectPr>
      </w:pPr>
    </w:p>
    <w:p>
      <w:pPr>
        <w:spacing w:after="0"/>
        <w:rPr>
          <w:sz w:val="20"/>
          <w:szCs w:val="20"/>
          <w:color w:val="auto"/>
        </w:rPr>
      </w:pPr>
      <w:r>
        <w:rPr>
          <w:rFonts w:ascii="Arial" w:cs="Arial" w:eastAsia="Arial" w:hAnsi="Arial"/>
          <w:sz w:val="12"/>
          <w:szCs w:val="12"/>
          <w:b w:val="1"/>
          <w:bCs w:val="1"/>
          <w:color w:val="132647"/>
        </w:rPr>
        <w:t>(1) See appendix for definitions of non-GAAP measures</w:t>
      </w:r>
    </w:p>
    <w:p>
      <w:pPr>
        <w:sectPr>
          <w:pgSz w:w="11900" w:h="16838" w:orient="portrait"/>
          <w:cols w:equalWidth="0" w:num="1">
            <w:col w:w="10600"/>
          </w:cols>
          <w:pgMar w:left="440" w:top="174" w:right="8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Overview of HRH</w:t>
      </w: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132647"/>
        </w:rPr>
        <w:t>COMPANY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-147955</wp:posOffset>
            </wp:positionV>
            <wp:extent cx="6929120" cy="4661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120" cy="4661535"/>
                    </a:xfrm>
                    <a:prstGeom prst="rect">
                      <a:avLst/>
                    </a:prstGeom>
                    <a:noFill/>
                  </pic:spPr>
                </pic:pic>
              </a:graphicData>
            </a:graphic>
          </wp:anchor>
        </w:drawing>
      </w:r>
    </w:p>
    <w:p>
      <w:pPr>
        <w:spacing w:after="0" w:line="186" w:lineRule="exact"/>
        <w:rPr>
          <w:sz w:val="20"/>
          <w:szCs w:val="20"/>
          <w:color w:val="auto"/>
        </w:rPr>
      </w:pPr>
    </w:p>
    <w:p>
      <w:pPr>
        <w:ind w:left="780" w:hanging="290"/>
        <w:spacing w:after="0"/>
        <w:tabs>
          <w:tab w:leader="none" w:pos="780" w:val="left"/>
        </w:tabs>
        <w:numPr>
          <w:ilvl w:val="0"/>
          <w:numId w:val="9"/>
        </w:numPr>
        <w:rPr>
          <w:rFonts w:ascii="Arial" w:cs="Arial" w:eastAsia="Arial" w:hAnsi="Arial"/>
          <w:sz w:val="19"/>
          <w:szCs w:val="19"/>
          <w:color w:val="132647"/>
        </w:rPr>
      </w:pPr>
      <w:r>
        <w:rPr>
          <w:rFonts w:ascii="Arial" w:cs="Arial" w:eastAsia="Arial" w:hAnsi="Arial"/>
          <w:sz w:val="19"/>
          <w:szCs w:val="19"/>
          <w:color w:val="132647"/>
        </w:rPr>
        <w:t>Based in Glen Allen, Virginia</w:t>
      </w:r>
    </w:p>
    <w:p>
      <w:pPr>
        <w:spacing w:after="0" w:line="4" w:lineRule="exact"/>
        <w:rPr>
          <w:rFonts w:ascii="Arial" w:cs="Arial" w:eastAsia="Arial" w:hAnsi="Arial"/>
          <w:sz w:val="19"/>
          <w:szCs w:val="19"/>
          <w:color w:val="132647"/>
        </w:rPr>
      </w:pPr>
    </w:p>
    <w:p>
      <w:pPr>
        <w:ind w:left="780" w:hanging="290"/>
        <w:spacing w:after="0"/>
        <w:tabs>
          <w:tab w:leader="none" w:pos="780" w:val="left"/>
        </w:tabs>
        <w:numPr>
          <w:ilvl w:val="0"/>
          <w:numId w:val="9"/>
        </w:numPr>
        <w:rPr>
          <w:rFonts w:ascii="Arial" w:cs="Arial" w:eastAsia="Arial" w:hAnsi="Arial"/>
          <w:sz w:val="19"/>
          <w:szCs w:val="19"/>
          <w:color w:val="132647"/>
        </w:rPr>
      </w:pPr>
      <w:r>
        <w:rPr>
          <w:rFonts w:ascii="Arial" w:cs="Arial" w:eastAsia="Arial" w:hAnsi="Arial"/>
          <w:sz w:val="19"/>
          <w:szCs w:val="19"/>
          <w:color w:val="132647"/>
        </w:rPr>
        <w:t>Offers P&amp;C, employee benefits and specialized exposure insurance</w:t>
      </w:r>
    </w:p>
    <w:p>
      <w:pPr>
        <w:spacing w:after="0" w:line="4" w:lineRule="exact"/>
        <w:rPr>
          <w:rFonts w:ascii="Arial" w:cs="Arial" w:eastAsia="Arial" w:hAnsi="Arial"/>
          <w:sz w:val="19"/>
          <w:szCs w:val="19"/>
          <w:color w:val="132647"/>
        </w:rPr>
      </w:pPr>
    </w:p>
    <w:p>
      <w:pPr>
        <w:ind w:left="780" w:hanging="290"/>
        <w:spacing w:after="0" w:line="219" w:lineRule="auto"/>
        <w:tabs>
          <w:tab w:leader="none" w:pos="780" w:val="left"/>
        </w:tabs>
        <w:numPr>
          <w:ilvl w:val="0"/>
          <w:numId w:val="9"/>
        </w:numPr>
        <w:rPr>
          <w:rFonts w:ascii="Arial" w:cs="Arial" w:eastAsia="Arial" w:hAnsi="Arial"/>
          <w:sz w:val="19"/>
          <w:szCs w:val="19"/>
          <w:color w:val="132647"/>
        </w:rPr>
      </w:pPr>
      <w:r>
        <w:rPr>
          <w:rFonts w:ascii="Arial" w:cs="Arial" w:eastAsia="Arial" w:hAnsi="Arial"/>
          <w:sz w:val="19"/>
          <w:szCs w:val="19"/>
          <w:color w:val="132647"/>
        </w:rPr>
        <w:t>U.S. middle market focused broker with national footprint</w:t>
      </w:r>
    </w:p>
    <w:p>
      <w:pPr>
        <w:ind w:left="920" w:right="260"/>
        <w:spacing w:after="0" w:line="232" w:lineRule="auto"/>
        <w:rPr>
          <w:sz w:val="20"/>
          <w:szCs w:val="20"/>
          <w:color w:val="auto"/>
        </w:rPr>
      </w:pPr>
      <w:r>
        <w:rPr>
          <w:rFonts w:ascii="Arial" w:cs="Arial" w:eastAsia="Arial" w:hAnsi="Arial"/>
          <w:sz w:val="19"/>
          <w:szCs w:val="19"/>
          <w:b w:val="1"/>
          <w:bCs w:val="1"/>
          <w:i w:val="1"/>
          <w:iCs w:val="1"/>
          <w:color w:val="132647"/>
        </w:rPr>
        <w:t xml:space="preserve">Domestic Retail </w:t>
      </w:r>
      <w:r>
        <w:rPr>
          <w:rFonts w:ascii="Arial" w:cs="Arial" w:eastAsia="Arial" w:hAnsi="Arial"/>
          <w:sz w:val="19"/>
          <w:szCs w:val="19"/>
          <w:i w:val="1"/>
          <w:iCs w:val="1"/>
          <w:color w:val="132647"/>
        </w:rPr>
        <w:t>(85%)</w:t>
      </w:r>
      <w:r>
        <w:rPr>
          <w:rFonts w:ascii="Arial" w:cs="Arial" w:eastAsia="Arial" w:hAnsi="Arial"/>
          <w:sz w:val="19"/>
          <w:szCs w:val="19"/>
          <w:b w:val="1"/>
          <w:bCs w:val="1"/>
          <w:i w:val="1"/>
          <w:iCs w:val="1"/>
          <w:color w:val="132647"/>
        </w:rPr>
        <w:t xml:space="preserve"> </w:t>
      </w:r>
      <w:r>
        <w:rPr>
          <w:rFonts w:ascii="Arial" w:cs="Arial" w:eastAsia="Arial" w:hAnsi="Arial"/>
          <w:sz w:val="19"/>
          <w:szCs w:val="19"/>
          <w:color w:val="132647"/>
        </w:rPr>
        <w:t>– seven U.S. regional operating units providing marketing and specialized industry or</w:t>
      </w:r>
      <w:r>
        <w:rPr>
          <w:rFonts w:ascii="Arial" w:cs="Arial" w:eastAsia="Arial" w:hAnsi="Arial"/>
          <w:sz w:val="19"/>
          <w:szCs w:val="19"/>
          <w:b w:val="1"/>
          <w:bCs w:val="1"/>
          <w:i w:val="1"/>
          <w:iCs w:val="1"/>
          <w:color w:val="132647"/>
        </w:rPr>
        <w:t xml:space="preserve"> </w:t>
      </w:r>
      <w:r>
        <w:rPr>
          <w:rFonts w:ascii="Arial" w:cs="Arial" w:eastAsia="Arial" w:hAnsi="Arial"/>
          <w:sz w:val="19"/>
          <w:szCs w:val="19"/>
          <w:color w:val="132647"/>
        </w:rPr>
        <w:t>product expertise</w:t>
      </w:r>
    </w:p>
    <w:p>
      <w:pPr>
        <w:ind w:left="920" w:right="500"/>
        <w:spacing w:after="0" w:line="225" w:lineRule="auto"/>
        <w:rPr>
          <w:sz w:val="20"/>
          <w:szCs w:val="20"/>
          <w:color w:val="auto"/>
        </w:rPr>
      </w:pPr>
      <w:r>
        <w:rPr>
          <w:rFonts w:ascii="Arial" w:cs="Arial" w:eastAsia="Arial" w:hAnsi="Arial"/>
          <w:sz w:val="19"/>
          <w:szCs w:val="19"/>
          <w:b w:val="1"/>
          <w:bCs w:val="1"/>
          <w:i w:val="1"/>
          <w:iCs w:val="1"/>
          <w:color w:val="132647"/>
        </w:rPr>
        <w:t xml:space="preserve">Excess and Surplus (5%) </w:t>
      </w:r>
      <w:r>
        <w:rPr>
          <w:rFonts w:ascii="Arial" w:cs="Arial" w:eastAsia="Arial" w:hAnsi="Arial"/>
          <w:sz w:val="19"/>
          <w:szCs w:val="19"/>
          <w:color w:val="132647"/>
        </w:rPr>
        <w:t>– operating units specializing in excess and surplus lines brokerage (California,</w:t>
      </w:r>
      <w:r>
        <w:rPr>
          <w:rFonts w:ascii="Arial" w:cs="Arial" w:eastAsia="Arial" w:hAnsi="Arial"/>
          <w:sz w:val="19"/>
          <w:szCs w:val="19"/>
          <w:b w:val="1"/>
          <w:bCs w:val="1"/>
          <w:i w:val="1"/>
          <w:iCs w:val="1"/>
          <w:color w:val="132647"/>
        </w:rPr>
        <w:t xml:space="preserve"> </w:t>
      </w:r>
      <w:r>
        <w:rPr>
          <w:rFonts w:ascii="Arial" w:cs="Arial" w:eastAsia="Arial" w:hAnsi="Arial"/>
          <w:sz w:val="19"/>
          <w:szCs w:val="19"/>
          <w:color w:val="132647"/>
        </w:rPr>
        <w:t>Florida, Illinois and Texas)</w:t>
      </w:r>
    </w:p>
    <w:p>
      <w:pPr>
        <w:ind w:left="920"/>
        <w:spacing w:after="0" w:line="233" w:lineRule="auto"/>
        <w:rPr>
          <w:sz w:val="20"/>
          <w:szCs w:val="20"/>
          <w:color w:val="auto"/>
        </w:rPr>
      </w:pPr>
      <w:r>
        <w:rPr>
          <w:rFonts w:ascii="Arial" w:cs="Arial" w:eastAsia="Arial" w:hAnsi="Arial"/>
          <w:sz w:val="19"/>
          <w:szCs w:val="19"/>
          <w:b w:val="1"/>
          <w:bCs w:val="1"/>
          <w:i w:val="1"/>
          <w:iCs w:val="1"/>
          <w:color w:val="132647"/>
        </w:rPr>
        <w:t xml:space="preserve">International (7%) </w:t>
      </w:r>
      <w:r>
        <w:rPr>
          <w:rFonts w:ascii="Arial" w:cs="Arial" w:eastAsia="Arial" w:hAnsi="Arial"/>
          <w:sz w:val="19"/>
          <w:szCs w:val="19"/>
          <w:color w:val="132647"/>
        </w:rPr>
        <w:t>– primarily U.K based wholesale and reinsurance brokerage</w:t>
      </w:r>
    </w:p>
    <w:p>
      <w:pPr>
        <w:spacing w:after="0" w:line="1" w:lineRule="exact"/>
        <w:rPr>
          <w:sz w:val="20"/>
          <w:szCs w:val="20"/>
          <w:color w:val="auto"/>
        </w:rPr>
      </w:pPr>
    </w:p>
    <w:p>
      <w:pPr>
        <w:ind w:left="780" w:hanging="290"/>
        <w:spacing w:after="0"/>
        <w:tabs>
          <w:tab w:leader="none" w:pos="780" w:val="left"/>
        </w:tabs>
        <w:numPr>
          <w:ilvl w:val="0"/>
          <w:numId w:val="10"/>
        </w:numPr>
        <w:rPr>
          <w:rFonts w:ascii="Arial" w:cs="Arial" w:eastAsia="Arial" w:hAnsi="Arial"/>
          <w:sz w:val="19"/>
          <w:szCs w:val="19"/>
          <w:color w:val="132647"/>
        </w:rPr>
      </w:pPr>
      <w:r>
        <w:rPr>
          <w:rFonts w:ascii="Arial" w:cs="Arial" w:eastAsia="Arial" w:hAnsi="Arial"/>
          <w:sz w:val="19"/>
          <w:szCs w:val="19"/>
          <w:color w:val="132647"/>
        </w:rPr>
        <w:t>4,200 employees in over 140 offices throughout the U.S.; 200 employees outside the U.S</w:t>
      </w:r>
    </w:p>
    <w:p>
      <w:pPr>
        <w:sectPr>
          <w:pgSz w:w="11900" w:h="16838" w:orient="portrait"/>
          <w:cols w:equalWidth="0" w:num="1">
            <w:col w:w="10260"/>
          </w:cols>
          <w:pgMar w:left="660" w:top="174" w:right="979" w:bottom="1440" w:gutter="0" w:footer="0" w:header="0"/>
        </w:sectPr>
      </w:pPr>
    </w:p>
    <w:p>
      <w:pPr>
        <w:spacing w:after="0" w:line="109"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132647"/>
        </w:rPr>
        <w:t>SENIOR MANAGEMENT</w:t>
      </w: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Title</w:t>
            </w:r>
          </w:p>
        </w:tc>
      </w:tr>
      <w:tr>
        <w:trPr>
          <w:trHeight w:val="305"/>
        </w:trPr>
        <w:tc>
          <w:tcPr>
            <w:tcW w:w="1580" w:type="dxa"/>
            <w:vAlign w:val="bottom"/>
          </w:tcPr>
          <w:p>
            <w:pPr>
              <w:spacing w:after="0"/>
              <w:rPr>
                <w:sz w:val="20"/>
                <w:szCs w:val="20"/>
                <w:color w:val="auto"/>
              </w:rPr>
            </w:pPr>
            <w:r>
              <w:rPr>
                <w:rFonts w:ascii="Arial" w:cs="Arial" w:eastAsia="Arial" w:hAnsi="Arial"/>
                <w:sz w:val="14"/>
                <w:szCs w:val="14"/>
                <w:color w:val="auto"/>
              </w:rPr>
              <w:t>Martin (Mell) Vaughan</w:t>
            </w:r>
          </w:p>
        </w:tc>
        <w:tc>
          <w:tcPr>
            <w:tcW w:w="660" w:type="dxa"/>
            <w:vAlign w:val="bottom"/>
          </w:tcPr>
          <w:p>
            <w:pPr>
              <w:jc w:val="center"/>
              <w:spacing w:after="0"/>
              <w:rPr>
                <w:sz w:val="20"/>
                <w:szCs w:val="20"/>
                <w:color w:val="auto"/>
              </w:rPr>
            </w:pPr>
            <w:r>
              <w:rPr>
                <w:rFonts w:ascii="Arial" w:cs="Arial" w:eastAsia="Arial" w:hAnsi="Arial"/>
                <w:sz w:val="14"/>
                <w:szCs w:val="14"/>
                <w:color w:val="auto"/>
              </w:rPr>
              <w:t>60</w:t>
            </w:r>
          </w:p>
        </w:tc>
        <w:tc>
          <w:tcPr>
            <w:tcW w:w="1280" w:type="dxa"/>
            <w:vAlign w:val="bottom"/>
          </w:tcPr>
          <w:p>
            <w:pPr>
              <w:ind w:left="180"/>
              <w:spacing w:after="0"/>
              <w:rPr>
                <w:sz w:val="20"/>
                <w:szCs w:val="20"/>
                <w:color w:val="auto"/>
              </w:rPr>
            </w:pPr>
            <w:r>
              <w:rPr>
                <w:rFonts w:ascii="Arial" w:cs="Arial" w:eastAsia="Arial" w:hAnsi="Arial"/>
                <w:sz w:val="14"/>
                <w:szCs w:val="14"/>
                <w:color w:val="auto"/>
                <w:w w:val="99"/>
              </w:rPr>
              <w:t>Chairman &amp; CEO</w:t>
            </w:r>
          </w:p>
        </w:tc>
      </w:tr>
      <w:tr>
        <w:trPr>
          <w:trHeight w:val="282"/>
        </w:trPr>
        <w:tc>
          <w:tcPr>
            <w:tcW w:w="1580" w:type="dxa"/>
            <w:vAlign w:val="bottom"/>
          </w:tcPr>
          <w:p>
            <w:pPr>
              <w:spacing w:after="0"/>
              <w:rPr>
                <w:sz w:val="20"/>
                <w:szCs w:val="20"/>
                <w:color w:val="auto"/>
              </w:rPr>
            </w:pPr>
            <w:r>
              <w:rPr>
                <w:rFonts w:ascii="Arial" w:cs="Arial" w:eastAsia="Arial" w:hAnsi="Arial"/>
                <w:sz w:val="14"/>
                <w:szCs w:val="14"/>
                <w:color w:val="auto"/>
              </w:rPr>
              <w:t>Michael Crowley</w:t>
            </w:r>
          </w:p>
        </w:tc>
        <w:tc>
          <w:tcPr>
            <w:tcW w:w="660" w:type="dxa"/>
            <w:vAlign w:val="bottom"/>
          </w:tcPr>
          <w:p>
            <w:pPr>
              <w:jc w:val="center"/>
              <w:spacing w:after="0"/>
              <w:rPr>
                <w:sz w:val="20"/>
                <w:szCs w:val="20"/>
                <w:color w:val="auto"/>
              </w:rPr>
            </w:pPr>
            <w:r>
              <w:rPr>
                <w:rFonts w:ascii="Arial" w:cs="Arial" w:eastAsia="Arial" w:hAnsi="Arial"/>
                <w:sz w:val="14"/>
                <w:szCs w:val="14"/>
                <w:color w:val="auto"/>
              </w:rPr>
              <w:t>55</w:t>
            </w:r>
          </w:p>
        </w:tc>
        <w:tc>
          <w:tcPr>
            <w:tcW w:w="1280" w:type="dxa"/>
            <w:vAlign w:val="bottom"/>
          </w:tcPr>
          <w:p>
            <w:pPr>
              <w:ind w:left="180"/>
              <w:spacing w:after="0"/>
              <w:rPr>
                <w:sz w:val="20"/>
                <w:szCs w:val="20"/>
                <w:color w:val="auto"/>
              </w:rPr>
            </w:pPr>
            <w:r>
              <w:rPr>
                <w:rFonts w:ascii="Arial" w:cs="Arial" w:eastAsia="Arial" w:hAnsi="Arial"/>
                <w:sz w:val="14"/>
                <w:szCs w:val="14"/>
                <w:color w:val="auto"/>
                <w:w w:val="99"/>
              </w:rPr>
              <w:t>President &amp; COO</w:t>
            </w:r>
          </w:p>
        </w:tc>
      </w:tr>
      <w:tr>
        <w:trPr>
          <w:trHeight w:val="294"/>
        </w:trPr>
        <w:tc>
          <w:tcPr>
            <w:tcW w:w="1580" w:type="dxa"/>
            <w:vAlign w:val="bottom"/>
          </w:tcPr>
          <w:p>
            <w:pPr>
              <w:spacing w:after="0"/>
              <w:rPr>
                <w:sz w:val="20"/>
                <w:szCs w:val="20"/>
                <w:color w:val="auto"/>
              </w:rPr>
            </w:pPr>
            <w:r>
              <w:rPr>
                <w:rFonts w:ascii="Arial" w:cs="Arial" w:eastAsia="Arial" w:hAnsi="Arial"/>
                <w:sz w:val="14"/>
                <w:szCs w:val="14"/>
                <w:color w:val="auto"/>
              </w:rPr>
              <w:t>Michael Dinkins</w:t>
            </w:r>
          </w:p>
        </w:tc>
        <w:tc>
          <w:tcPr>
            <w:tcW w:w="660" w:type="dxa"/>
            <w:vAlign w:val="bottom"/>
          </w:tcPr>
          <w:p>
            <w:pPr>
              <w:jc w:val="center"/>
              <w:spacing w:after="0"/>
              <w:rPr>
                <w:sz w:val="20"/>
                <w:szCs w:val="20"/>
                <w:color w:val="auto"/>
              </w:rPr>
            </w:pPr>
            <w:r>
              <w:rPr>
                <w:rFonts w:ascii="Arial" w:cs="Arial" w:eastAsia="Arial" w:hAnsi="Arial"/>
                <w:sz w:val="14"/>
                <w:szCs w:val="14"/>
                <w:color w:val="auto"/>
              </w:rPr>
              <w:t>52</w:t>
            </w:r>
          </w:p>
        </w:tc>
        <w:tc>
          <w:tcPr>
            <w:tcW w:w="1280" w:type="dxa"/>
            <w:vAlign w:val="bottom"/>
          </w:tcPr>
          <w:p>
            <w:pPr>
              <w:ind w:left="180"/>
              <w:spacing w:after="0"/>
              <w:rPr>
                <w:sz w:val="20"/>
                <w:szCs w:val="20"/>
                <w:color w:val="auto"/>
              </w:rPr>
            </w:pPr>
            <w:r>
              <w:rPr>
                <w:rFonts w:ascii="Arial" w:cs="Arial" w:eastAsia="Arial" w:hAnsi="Arial"/>
                <w:sz w:val="14"/>
                <w:szCs w:val="14"/>
                <w:color w:val="auto"/>
              </w:rPr>
              <w:t>EVP &amp; CFO</w:t>
            </w:r>
          </w:p>
        </w:tc>
      </w:tr>
    </w:tbl>
    <w:p>
      <w:pPr>
        <w:spacing w:after="0" w:line="386" w:lineRule="exact"/>
        <w:rPr>
          <w:sz w:val="20"/>
          <w:szCs w:val="20"/>
          <w:color w:val="auto"/>
        </w:rPr>
      </w:pPr>
    </w:p>
    <w:tbl>
      <w:tblPr>
        <w:tblLayout w:type="fixed"/>
        <w:tblInd w:w="460" w:type="dxa"/>
        <w:tblCellMar>
          <w:top w:w="0" w:type="dxa"/>
          <w:left w:w="0" w:type="dxa"/>
          <w:bottom w:w="0" w:type="dxa"/>
          <w:right w:w="0" w:type="dxa"/>
        </w:tblCellMar>
      </w:tblPr>
      <w:tr>
        <w:trPr>
          <w:trHeight w:val="289"/>
        </w:trPr>
        <w:tc>
          <w:tcPr>
            <w:tcW w:w="4400" w:type="dxa"/>
            <w:vAlign w:val="bottom"/>
            <w:gridSpan w:val="3"/>
          </w:tcPr>
          <w:p>
            <w:pPr>
              <w:jc w:val="right"/>
              <w:spacing w:after="0"/>
              <w:rPr>
                <w:sz w:val="20"/>
                <w:szCs w:val="20"/>
                <w:color w:val="auto"/>
              </w:rPr>
            </w:pPr>
            <w:r>
              <w:rPr>
                <w:rFonts w:ascii="Arial" w:cs="Arial" w:eastAsia="Arial" w:hAnsi="Arial"/>
                <w:sz w:val="22"/>
                <w:szCs w:val="22"/>
                <w:b w:val="1"/>
                <w:bCs w:val="1"/>
                <w:color w:val="132647"/>
              </w:rPr>
              <w:t>REVENUE AND REVENUE GROWTH</w:t>
            </w:r>
          </w:p>
        </w:tc>
        <w:tc>
          <w:tcPr>
            <w:tcW w:w="0" w:type="dxa"/>
            <w:vAlign w:val="bottom"/>
          </w:tcPr>
          <w:p>
            <w:pPr>
              <w:spacing w:after="0"/>
              <w:rPr>
                <w:sz w:val="1"/>
                <w:szCs w:val="1"/>
                <w:color w:val="auto"/>
              </w:rPr>
            </w:pPr>
          </w:p>
        </w:tc>
      </w:tr>
      <w:tr>
        <w:trPr>
          <w:trHeight w:val="113"/>
        </w:trPr>
        <w:tc>
          <w:tcPr>
            <w:tcW w:w="1360" w:type="dxa"/>
            <w:vAlign w:val="bottom"/>
          </w:tcPr>
          <w:p>
            <w:pPr>
              <w:jc w:val="right"/>
              <w:ind w:right="665"/>
              <w:spacing w:after="0" w:line="113" w:lineRule="exact"/>
              <w:rPr>
                <w:sz w:val="20"/>
                <w:szCs w:val="20"/>
                <w:color w:val="auto"/>
              </w:rPr>
            </w:pPr>
            <w:r>
              <w:rPr>
                <w:rFonts w:ascii="Arial" w:cs="Arial" w:eastAsia="Arial" w:hAnsi="Arial"/>
                <w:sz w:val="11"/>
                <w:szCs w:val="11"/>
                <w:i w:val="1"/>
                <w:iCs w:val="1"/>
                <w:color w:val="132647"/>
                <w:w w:val="92"/>
              </w:rPr>
              <w:t>($ in millions)</w:t>
            </w:r>
          </w:p>
        </w:tc>
        <w:tc>
          <w:tcPr>
            <w:tcW w:w="1760" w:type="dxa"/>
            <w:vAlign w:val="bottom"/>
          </w:tcPr>
          <w:p>
            <w:pPr>
              <w:spacing w:after="0"/>
              <w:rPr>
                <w:sz w:val="9"/>
                <w:szCs w:val="9"/>
                <w:color w:val="auto"/>
              </w:rPr>
            </w:pPr>
          </w:p>
        </w:tc>
        <w:tc>
          <w:tcPr>
            <w:tcW w:w="1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8"/>
        </w:trPr>
        <w:tc>
          <w:tcPr>
            <w:tcW w:w="1360" w:type="dxa"/>
            <w:vAlign w:val="bottom"/>
          </w:tcPr>
          <w:p>
            <w:pPr>
              <w:jc w:val="right"/>
              <w:ind w:right="785"/>
              <w:spacing w:after="0"/>
              <w:rPr>
                <w:sz w:val="20"/>
                <w:szCs w:val="20"/>
                <w:color w:val="auto"/>
              </w:rPr>
            </w:pPr>
            <w:r>
              <w:rPr>
                <w:rFonts w:ascii="Arial" w:cs="Arial" w:eastAsia="Arial" w:hAnsi="Arial"/>
                <w:sz w:val="14"/>
                <w:szCs w:val="14"/>
                <w:b w:val="1"/>
                <w:bCs w:val="1"/>
                <w:color w:val="auto"/>
              </w:rPr>
              <w:t>9%</w:t>
            </w:r>
          </w:p>
        </w:tc>
        <w:tc>
          <w:tcPr>
            <w:tcW w:w="1760" w:type="dxa"/>
            <w:vAlign w:val="bottom"/>
            <w:vMerge w:val="restart"/>
          </w:tcPr>
          <w:p>
            <w:pPr>
              <w:jc w:val="right"/>
              <w:ind w:right="790"/>
              <w:spacing w:after="0"/>
              <w:rPr>
                <w:sz w:val="20"/>
                <w:szCs w:val="20"/>
                <w:color w:val="auto"/>
              </w:rPr>
            </w:pPr>
            <w:r>
              <w:rPr>
                <w:rFonts w:ascii="Arial" w:cs="Arial" w:eastAsia="Arial" w:hAnsi="Arial"/>
                <w:sz w:val="14"/>
                <w:szCs w:val="14"/>
                <w:b w:val="1"/>
                <w:bCs w:val="1"/>
                <w:color w:val="auto"/>
              </w:rPr>
              <w:t>5%</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ind w:left="700"/>
              <w:spacing w:after="0"/>
              <w:rPr>
                <w:sz w:val="20"/>
                <w:szCs w:val="20"/>
                <w:color w:val="auto"/>
              </w:rPr>
            </w:pPr>
            <w:r>
              <w:rPr>
                <w:rFonts w:ascii="Arial" w:cs="Arial" w:eastAsia="Arial" w:hAnsi="Arial"/>
                <w:sz w:val="15"/>
                <w:szCs w:val="15"/>
                <w:b w:val="1"/>
                <w:bCs w:val="1"/>
                <w:color w:val="auto"/>
              </w:rPr>
              <w:t>$800</w:t>
            </w:r>
          </w:p>
        </w:tc>
        <w:tc>
          <w:tcPr>
            <w:tcW w:w="0" w:type="dxa"/>
            <w:vAlign w:val="bottom"/>
          </w:tcPr>
          <w:p>
            <w:pPr>
              <w:spacing w:after="0"/>
              <w:rPr>
                <w:sz w:val="1"/>
                <w:szCs w:val="1"/>
                <w:color w:val="auto"/>
              </w:rPr>
            </w:pPr>
          </w:p>
        </w:tc>
      </w:tr>
      <w:tr>
        <w:trPr>
          <w:trHeight w:val="282"/>
        </w:trPr>
        <w:tc>
          <w:tcPr>
            <w:tcW w:w="1360" w:type="dxa"/>
            <w:vAlign w:val="bottom"/>
            <w:vMerge w:val="restart"/>
          </w:tcPr>
          <w:p>
            <w:pPr>
              <w:jc w:val="right"/>
              <w:ind w:right="605"/>
              <w:spacing w:after="0"/>
              <w:rPr>
                <w:sz w:val="20"/>
                <w:szCs w:val="20"/>
                <w:color w:val="auto"/>
              </w:rPr>
            </w:pPr>
            <w:r>
              <w:rPr>
                <w:rFonts w:ascii="Arial" w:cs="Arial" w:eastAsia="Arial" w:hAnsi="Arial"/>
                <w:sz w:val="15"/>
                <w:szCs w:val="15"/>
                <w:b w:val="1"/>
                <w:bCs w:val="1"/>
                <w:color w:val="auto"/>
              </w:rPr>
              <w:t>$674</w:t>
            </w:r>
          </w:p>
        </w:tc>
        <w:tc>
          <w:tcPr>
            <w:tcW w:w="1760" w:type="dxa"/>
            <w:vAlign w:val="bottom"/>
          </w:tcPr>
          <w:p>
            <w:pPr>
              <w:jc w:val="right"/>
              <w:ind w:right="630"/>
              <w:spacing w:after="0"/>
              <w:rPr>
                <w:sz w:val="20"/>
                <w:szCs w:val="20"/>
                <w:color w:val="auto"/>
              </w:rPr>
            </w:pPr>
            <w:r>
              <w:rPr>
                <w:rFonts w:ascii="Arial" w:cs="Arial" w:eastAsia="Arial" w:hAnsi="Arial"/>
                <w:sz w:val="15"/>
                <w:szCs w:val="15"/>
                <w:b w:val="1"/>
                <w:bCs w:val="1"/>
                <w:color w:val="auto"/>
              </w:rPr>
              <w:t>$711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8"/>
        </w:trPr>
        <w:tc>
          <w:tcPr>
            <w:tcW w:w="1360" w:type="dxa"/>
            <w:vAlign w:val="bottom"/>
          </w:tcPr>
          <w:p>
            <w:pPr>
              <w:jc w:val="right"/>
              <w:ind w:right="645"/>
              <w:spacing w:after="0"/>
              <w:rPr>
                <w:sz w:val="20"/>
                <w:szCs w:val="20"/>
                <w:color w:val="auto"/>
              </w:rPr>
            </w:pPr>
            <w:r>
              <w:rPr>
                <w:rFonts w:ascii="Arial" w:cs="Arial" w:eastAsia="Arial" w:hAnsi="Arial"/>
                <w:sz w:val="13"/>
                <w:szCs w:val="13"/>
                <w:color w:val="auto"/>
              </w:rPr>
              <w:t>2005</w:t>
            </w:r>
          </w:p>
        </w:tc>
        <w:tc>
          <w:tcPr>
            <w:tcW w:w="1760" w:type="dxa"/>
            <w:vAlign w:val="bottom"/>
          </w:tcPr>
          <w:p>
            <w:pPr>
              <w:jc w:val="right"/>
              <w:ind w:right="650"/>
              <w:spacing w:after="0"/>
              <w:rPr>
                <w:sz w:val="20"/>
                <w:szCs w:val="20"/>
                <w:color w:val="auto"/>
              </w:rPr>
            </w:pPr>
            <w:r>
              <w:rPr>
                <w:rFonts w:ascii="Arial" w:cs="Arial" w:eastAsia="Arial" w:hAnsi="Arial"/>
                <w:sz w:val="13"/>
                <w:szCs w:val="13"/>
                <w:color w:val="auto"/>
              </w:rPr>
              <w:t>2006</w:t>
            </w:r>
          </w:p>
        </w:tc>
        <w:tc>
          <w:tcPr>
            <w:tcW w:w="1280" w:type="dxa"/>
            <w:vAlign w:val="bottom"/>
          </w:tcPr>
          <w:p>
            <w:pPr>
              <w:jc w:val="right"/>
              <w:ind w:right="190"/>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132647"/>
        </w:rPr>
        <w:t>2007 REVENUE BREAKDOWN</w:t>
      </w:r>
    </w:p>
    <w:p>
      <w:pPr>
        <w:spacing w:after="0" w:line="116" w:lineRule="exact"/>
        <w:rPr>
          <w:sz w:val="20"/>
          <w:szCs w:val="20"/>
          <w:color w:val="auto"/>
        </w:rPr>
      </w:pPr>
    </w:p>
    <w:p>
      <w:pPr>
        <w:jc w:val="center"/>
        <w:ind w:right="-759"/>
        <w:spacing w:after="0"/>
        <w:tabs>
          <w:tab w:leader="none" w:pos="140" w:val="left"/>
        </w:tabs>
        <w:rPr>
          <w:sz w:val="20"/>
          <w:szCs w:val="20"/>
          <w:color w:val="auto"/>
        </w:rPr>
      </w:pPr>
      <w:r>
        <w:rPr>
          <w:rFonts w:ascii="Arial" w:cs="Arial" w:eastAsia="Arial" w:hAnsi="Arial"/>
          <w:sz w:val="11"/>
          <w:szCs w:val="11"/>
          <w:b w:val="1"/>
          <w:bCs w:val="1"/>
          <w:color w:val="auto"/>
        </w:rPr>
        <w:t>International</w:t>
        <w:tab/>
        <w:t>Other</w:t>
      </w:r>
    </w:p>
    <w:p>
      <w:pPr>
        <w:ind w:left="1740"/>
        <w:spacing w:after="0" w:line="201" w:lineRule="auto"/>
        <w:tabs>
          <w:tab w:leader="none" w:pos="2340" w:val="left"/>
        </w:tabs>
        <w:rPr>
          <w:sz w:val="20"/>
          <w:szCs w:val="20"/>
          <w:color w:val="auto"/>
        </w:rPr>
      </w:pPr>
      <w:r>
        <w:rPr>
          <w:rFonts w:ascii="Arial" w:cs="Arial" w:eastAsia="Arial" w:hAnsi="Arial"/>
          <w:sz w:val="11"/>
          <w:szCs w:val="11"/>
          <w:b w:val="1"/>
          <w:bCs w:val="1"/>
          <w:color w:val="auto"/>
        </w:rPr>
        <w:t>7%</w:t>
      </w:r>
      <w:r>
        <w:rPr>
          <w:sz w:val="20"/>
          <w:szCs w:val="20"/>
          <w:color w:val="auto"/>
        </w:rPr>
        <w:tab/>
      </w:r>
      <w:r>
        <w:rPr>
          <w:rFonts w:ascii="Arial" w:cs="Arial" w:eastAsia="Arial" w:hAnsi="Arial"/>
          <w:sz w:val="21"/>
          <w:szCs w:val="21"/>
          <w:b w:val="1"/>
          <w:bCs w:val="1"/>
          <w:color w:val="auto"/>
          <w:vertAlign w:val="superscript"/>
        </w:rPr>
        <w:t>3%</w:t>
      </w:r>
    </w:p>
    <w:p>
      <w:pPr>
        <w:ind w:left="1300"/>
        <w:spacing w:after="0"/>
        <w:rPr>
          <w:sz w:val="20"/>
          <w:szCs w:val="20"/>
          <w:color w:val="auto"/>
        </w:rPr>
      </w:pPr>
      <w:r>
        <w:rPr>
          <w:rFonts w:ascii="Arial" w:cs="Arial" w:eastAsia="Arial" w:hAnsi="Arial"/>
          <w:sz w:val="11"/>
          <w:szCs w:val="11"/>
          <w:b w:val="1"/>
          <w:bCs w:val="1"/>
          <w:color w:val="auto"/>
        </w:rPr>
        <w:t>Excess &amp;</w:t>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Surplus</w:t>
      </w:r>
    </w:p>
    <w:p>
      <w:pPr>
        <w:ind w:left="1460"/>
        <w:spacing w:after="0" w:line="228" w:lineRule="auto"/>
        <w:rPr>
          <w:sz w:val="20"/>
          <w:szCs w:val="20"/>
          <w:color w:val="auto"/>
        </w:rPr>
      </w:pPr>
      <w:r>
        <w:rPr>
          <w:rFonts w:ascii="Arial" w:cs="Arial" w:eastAsia="Arial" w:hAnsi="Arial"/>
          <w:sz w:val="11"/>
          <w:szCs w:val="11"/>
          <w:b w:val="1"/>
          <w:bCs w:val="1"/>
          <w:color w:val="auto"/>
        </w:rPr>
        <w:t>5%</w:t>
      </w:r>
    </w:p>
    <w:p>
      <w:pPr>
        <w:ind w:left="3080"/>
        <w:spacing w:after="0"/>
        <w:rPr>
          <w:sz w:val="20"/>
          <w:szCs w:val="20"/>
          <w:color w:val="auto"/>
        </w:rPr>
      </w:pPr>
      <w:r>
        <w:rPr>
          <w:rFonts w:ascii="Arial" w:cs="Arial" w:eastAsia="Arial" w:hAnsi="Arial"/>
          <w:sz w:val="11"/>
          <w:szCs w:val="11"/>
          <w:b w:val="1"/>
          <w:bCs w:val="1"/>
          <w:color w:val="auto"/>
        </w:rPr>
        <w:t>Domestic</w:t>
      </w:r>
    </w:p>
    <w:p>
      <w:pPr>
        <w:spacing w:after="0" w:line="3" w:lineRule="exact"/>
        <w:rPr>
          <w:sz w:val="20"/>
          <w:szCs w:val="20"/>
          <w:color w:val="auto"/>
        </w:rPr>
      </w:pPr>
    </w:p>
    <w:p>
      <w:pPr>
        <w:ind w:left="3160"/>
        <w:spacing w:after="0"/>
        <w:rPr>
          <w:sz w:val="20"/>
          <w:szCs w:val="20"/>
          <w:color w:val="auto"/>
        </w:rPr>
      </w:pPr>
      <w:r>
        <w:rPr>
          <w:rFonts w:ascii="Arial" w:cs="Arial" w:eastAsia="Arial" w:hAnsi="Arial"/>
          <w:sz w:val="11"/>
          <w:szCs w:val="11"/>
          <w:b w:val="1"/>
          <w:bCs w:val="1"/>
          <w:color w:val="auto"/>
        </w:rPr>
        <w:t>Retail</w:t>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11"/>
          <w:szCs w:val="11"/>
          <w:b w:val="1"/>
          <w:bCs w:val="1"/>
          <w:color w:val="auto"/>
        </w:rPr>
        <w:t>85%</w:t>
      </w:r>
    </w:p>
    <w:p>
      <w:pPr>
        <w:spacing w:after="0" w:line="200" w:lineRule="exact"/>
        <w:rPr>
          <w:sz w:val="20"/>
          <w:szCs w:val="20"/>
          <w:color w:val="auto"/>
        </w:rPr>
      </w:pPr>
    </w:p>
    <w:p>
      <w:pPr>
        <w:spacing w:after="0" w:line="377"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132647"/>
        </w:rPr>
        <w:t>EBITDA AND EBITDA MARGIN</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i w:val="1"/>
          <w:iCs w:val="1"/>
          <w:color w:val="132647"/>
        </w:rPr>
        <w:t>($ in millions)</w:t>
      </w: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1020" w:type="dxa"/>
            <w:vAlign w:val="bottom"/>
          </w:tcPr>
          <w:p>
            <w:pPr>
              <w:spacing w:after="0"/>
              <w:rPr>
                <w:sz w:val="20"/>
                <w:szCs w:val="20"/>
                <w:color w:val="auto"/>
              </w:rPr>
            </w:pPr>
            <w:r>
              <w:rPr>
                <w:rFonts w:ascii="Arial" w:cs="Arial" w:eastAsia="Arial" w:hAnsi="Arial"/>
                <w:sz w:val="14"/>
                <w:szCs w:val="14"/>
                <w:b w:val="1"/>
                <w:bCs w:val="1"/>
                <w:color w:val="auto"/>
              </w:rPr>
              <w:t>27%</w:t>
            </w:r>
          </w:p>
        </w:tc>
        <w:tc>
          <w:tcPr>
            <w:tcW w:w="1740" w:type="dxa"/>
            <w:vAlign w:val="bottom"/>
          </w:tcPr>
          <w:p>
            <w:pPr>
              <w:jc w:val="right"/>
              <w:ind w:right="727"/>
              <w:spacing w:after="0"/>
              <w:rPr>
                <w:sz w:val="20"/>
                <w:szCs w:val="20"/>
                <w:color w:val="auto"/>
              </w:rPr>
            </w:pPr>
            <w:r>
              <w:rPr>
                <w:rFonts w:ascii="Arial" w:cs="Arial" w:eastAsia="Arial" w:hAnsi="Arial"/>
                <w:sz w:val="14"/>
                <w:szCs w:val="14"/>
                <w:b w:val="1"/>
                <w:bCs w:val="1"/>
                <w:color w:val="auto"/>
              </w:rPr>
              <w:t>27%</w:t>
            </w:r>
          </w:p>
        </w:tc>
        <w:tc>
          <w:tcPr>
            <w:tcW w:w="1040" w:type="dxa"/>
            <w:vAlign w:val="bottom"/>
          </w:tcPr>
          <w:p>
            <w:pPr>
              <w:jc w:val="right"/>
              <w:ind w:right="7"/>
              <w:spacing w:after="0"/>
              <w:rPr>
                <w:sz w:val="20"/>
                <w:szCs w:val="20"/>
                <w:color w:val="auto"/>
              </w:rPr>
            </w:pPr>
            <w:r>
              <w:rPr>
                <w:rFonts w:ascii="Arial" w:cs="Arial" w:eastAsia="Arial" w:hAnsi="Arial"/>
                <w:sz w:val="14"/>
                <w:szCs w:val="14"/>
                <w:b w:val="1"/>
                <w:bCs w:val="1"/>
                <w:color w:val="auto"/>
              </w:rPr>
              <w:t>24%</w:t>
            </w:r>
          </w:p>
        </w:tc>
      </w:tr>
      <w:tr>
        <w:trPr>
          <w:trHeight w:val="356"/>
        </w:trPr>
        <w:tc>
          <w:tcPr>
            <w:tcW w:w="1020" w:type="dxa"/>
            <w:vAlign w:val="bottom"/>
          </w:tcPr>
          <w:p>
            <w:pPr>
              <w:spacing w:after="0"/>
              <w:rPr>
                <w:sz w:val="20"/>
                <w:szCs w:val="20"/>
                <w:color w:val="auto"/>
              </w:rPr>
            </w:pPr>
            <w:r>
              <w:rPr>
                <w:rFonts w:ascii="Arial" w:cs="Arial" w:eastAsia="Arial" w:hAnsi="Arial"/>
                <w:sz w:val="15"/>
                <w:szCs w:val="15"/>
                <w:b w:val="1"/>
                <w:bCs w:val="1"/>
                <w:color w:val="auto"/>
              </w:rPr>
              <w:t>$174</w:t>
            </w:r>
          </w:p>
        </w:tc>
        <w:tc>
          <w:tcPr>
            <w:tcW w:w="1740" w:type="dxa"/>
            <w:vAlign w:val="bottom"/>
          </w:tcPr>
          <w:p>
            <w:pPr>
              <w:jc w:val="right"/>
              <w:ind w:right="607"/>
              <w:spacing w:after="0"/>
              <w:rPr>
                <w:sz w:val="20"/>
                <w:szCs w:val="20"/>
                <w:color w:val="auto"/>
              </w:rPr>
            </w:pPr>
            <w:r>
              <w:rPr>
                <w:rFonts w:ascii="Arial" w:cs="Arial" w:eastAsia="Arial" w:hAnsi="Arial"/>
                <w:sz w:val="15"/>
                <w:szCs w:val="15"/>
                <w:b w:val="1"/>
                <w:bCs w:val="1"/>
                <w:color w:val="auto"/>
              </w:rPr>
              <w:t>$181</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
        <w:spacing w:after="0"/>
        <w:tabs>
          <w:tab w:leader="none" w:pos="2400" w:val="left"/>
          <w:tab w:leader="none" w:pos="4140" w:val="left"/>
        </w:tabs>
        <w:rPr>
          <w:sz w:val="20"/>
          <w:szCs w:val="20"/>
          <w:color w:val="auto"/>
        </w:rPr>
      </w:pPr>
      <w:r>
        <w:rPr>
          <w:rFonts w:ascii="Arial" w:cs="Arial" w:eastAsia="Arial" w:hAnsi="Arial"/>
          <w:sz w:val="13"/>
          <w:szCs w:val="13"/>
          <w:color w:val="auto"/>
        </w:rPr>
        <w:t>2005</w:t>
      </w:r>
      <w:r>
        <w:rPr>
          <w:sz w:val="20"/>
          <w:szCs w:val="20"/>
          <w:color w:val="auto"/>
        </w:rPr>
        <w:tab/>
      </w:r>
      <w:r>
        <w:rPr>
          <w:rFonts w:ascii="Arial" w:cs="Arial" w:eastAsia="Arial" w:hAnsi="Arial"/>
          <w:sz w:val="13"/>
          <w:szCs w:val="13"/>
          <w:color w:val="auto"/>
        </w:rPr>
        <w:t>2006</w:t>
      </w:r>
      <w:r>
        <w:rPr>
          <w:sz w:val="20"/>
          <w:szCs w:val="20"/>
          <w:color w:val="auto"/>
        </w:rPr>
        <w:tab/>
      </w:r>
      <w:r>
        <w:rPr>
          <w:rFonts w:ascii="Arial" w:cs="Arial" w:eastAsia="Arial" w:hAnsi="Arial"/>
          <w:sz w:val="12"/>
          <w:szCs w:val="12"/>
          <w:color w:val="auto"/>
        </w:rPr>
        <w:t>2007</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9</w:t>
      </w:r>
    </w:p>
    <w:p>
      <w:pPr>
        <w:sectPr>
          <w:pgSz w:w="11900" w:h="16838" w:orient="portrait"/>
          <w:cols w:equalWidth="0" w:num="2">
            <w:col w:w="4860" w:space="580"/>
            <w:col w:w="4820"/>
          </w:cols>
          <w:pgMar w:left="660" w:top="174" w:right="979" w:bottom="1440" w:gutter="0" w:footer="0" w:header="0"/>
          <w:type w:val="continuous"/>
        </w:sectPr>
      </w:pPr>
    </w:p>
    <w:bookmarkStart w:id="22" w:name="page23"/>
    <w:bookmarkEnd w:id="22"/>
    <w:p>
      <w:pPr>
        <w:ind w:left="220"/>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Overview of HRH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208915</wp:posOffset>
            </wp:positionV>
            <wp:extent cx="6615430" cy="4705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5430" cy="4705985"/>
                    </a:xfrm>
                    <a:prstGeom prst="rect">
                      <a:avLst/>
                    </a:prstGeom>
                    <a:noFill/>
                  </pic:spPr>
                </pic:pic>
              </a:graphicData>
            </a:graphic>
          </wp:anchor>
        </w:drawing>
      </w:r>
    </w:p>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96"/>
        </w:trPr>
        <w:tc>
          <w:tcPr>
            <w:tcW w:w="4700" w:type="dxa"/>
            <w:vAlign w:val="bottom"/>
            <w:gridSpan w:val="2"/>
          </w:tcPr>
          <w:p>
            <w:pPr>
              <w:ind w:left="940"/>
              <w:spacing w:after="0"/>
              <w:rPr>
                <w:sz w:val="20"/>
                <w:szCs w:val="20"/>
                <w:color w:val="auto"/>
              </w:rPr>
            </w:pPr>
            <w:r>
              <w:rPr>
                <w:rFonts w:ascii="Arial" w:cs="Arial" w:eastAsia="Arial" w:hAnsi="Arial"/>
                <w:sz w:val="22"/>
                <w:szCs w:val="22"/>
                <w:b w:val="1"/>
                <w:bCs w:val="1"/>
                <w:color w:val="132647"/>
              </w:rPr>
              <w:t>2007 REVENUE BY PRODUCT</w:t>
            </w:r>
          </w:p>
        </w:tc>
        <w:tc>
          <w:tcPr>
            <w:tcW w:w="660" w:type="dxa"/>
            <w:vAlign w:val="bottom"/>
          </w:tcPr>
          <w:p>
            <w:pPr>
              <w:spacing w:after="0"/>
              <w:rPr>
                <w:sz w:val="24"/>
                <w:szCs w:val="24"/>
                <w:color w:val="auto"/>
              </w:rPr>
            </w:pPr>
          </w:p>
        </w:tc>
        <w:tc>
          <w:tcPr>
            <w:tcW w:w="3920" w:type="dxa"/>
            <w:vAlign w:val="bottom"/>
            <w:gridSpan w:val="2"/>
          </w:tcPr>
          <w:p>
            <w:pPr>
              <w:jc w:val="right"/>
              <w:spacing w:after="0"/>
              <w:rPr>
                <w:sz w:val="20"/>
                <w:szCs w:val="20"/>
                <w:color w:val="auto"/>
              </w:rPr>
            </w:pPr>
            <w:r>
              <w:rPr>
                <w:rFonts w:ascii="Arial" w:cs="Arial" w:eastAsia="Arial" w:hAnsi="Arial"/>
                <w:sz w:val="22"/>
                <w:szCs w:val="22"/>
                <w:b w:val="1"/>
                <w:bCs w:val="1"/>
                <w:color w:val="132647"/>
              </w:rPr>
              <w:t xml:space="preserve">CASH FLOW FROM OPERATIONS </w:t>
            </w:r>
            <w:r>
              <w:rPr>
                <w:rFonts w:ascii="Arial" w:cs="Arial" w:eastAsia="Arial" w:hAnsi="Arial"/>
                <w:sz w:val="14"/>
                <w:szCs w:val="14"/>
                <w:b w:val="1"/>
                <w:bCs w:val="1"/>
                <w:color w:val="132647"/>
              </w:rPr>
              <w:t>(1)</w:t>
            </w:r>
          </w:p>
        </w:tc>
        <w:tc>
          <w:tcPr>
            <w:tcW w:w="0" w:type="dxa"/>
            <w:vAlign w:val="bottom"/>
          </w:tcPr>
          <w:p>
            <w:pPr>
              <w:spacing w:after="0"/>
              <w:rPr>
                <w:sz w:val="1"/>
                <w:szCs w:val="1"/>
                <w:color w:val="auto"/>
              </w:rPr>
            </w:pPr>
          </w:p>
        </w:tc>
      </w:tr>
      <w:tr>
        <w:trPr>
          <w:trHeight w:val="356"/>
        </w:trPr>
        <w:tc>
          <w:tcPr>
            <w:tcW w:w="2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20" w:type="dxa"/>
            <w:vAlign w:val="bottom"/>
            <w:gridSpan w:val="2"/>
          </w:tcPr>
          <w:p>
            <w:pPr>
              <w:jc w:val="right"/>
              <w:ind w:right="523"/>
              <w:spacing w:after="0"/>
              <w:rPr>
                <w:sz w:val="20"/>
                <w:szCs w:val="20"/>
                <w:color w:val="auto"/>
              </w:rPr>
            </w:pPr>
            <w:r>
              <w:rPr>
                <w:rFonts w:ascii="Arial" w:cs="Arial" w:eastAsia="Arial" w:hAnsi="Arial"/>
                <w:sz w:val="15"/>
                <w:szCs w:val="15"/>
                <w:b w:val="1"/>
                <w:bCs w:val="1"/>
                <w:i w:val="1"/>
                <w:iCs w:val="1"/>
                <w:color w:val="132647"/>
              </w:rPr>
              <w:t>($ in millions)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60" w:type="dxa"/>
            <w:vAlign w:val="bottom"/>
            <w:vMerge w:val="restart"/>
          </w:tcPr>
          <w:p>
            <w:pPr>
              <w:jc w:val="center"/>
              <w:ind w:right="266"/>
              <w:spacing w:after="0"/>
              <w:rPr>
                <w:sz w:val="20"/>
                <w:szCs w:val="20"/>
                <w:color w:val="auto"/>
              </w:rPr>
            </w:pPr>
            <w:r>
              <w:rPr>
                <w:rFonts w:ascii="Arial" w:cs="Arial" w:eastAsia="Arial" w:hAnsi="Arial"/>
                <w:sz w:val="13"/>
                <w:szCs w:val="13"/>
                <w:color w:val="auto"/>
                <w:w w:val="98"/>
              </w:rPr>
              <w:t>Wholesale</w:t>
            </w:r>
          </w:p>
        </w:tc>
        <w:tc>
          <w:tcPr>
            <w:tcW w:w="2640" w:type="dxa"/>
            <w:vAlign w:val="bottom"/>
          </w:tcPr>
          <w:p>
            <w:pPr>
              <w:jc w:val="center"/>
              <w:ind w:right="195"/>
              <w:spacing w:after="0"/>
              <w:rPr>
                <w:sz w:val="20"/>
                <w:szCs w:val="20"/>
                <w:color w:val="auto"/>
              </w:rPr>
            </w:pPr>
            <w:r>
              <w:rPr>
                <w:rFonts w:ascii="Arial" w:cs="Arial" w:eastAsia="Arial" w:hAnsi="Arial"/>
                <w:sz w:val="13"/>
                <w:szCs w:val="13"/>
                <w:color w:val="auto"/>
              </w:rPr>
              <w:t>Employee</w:t>
            </w: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60" w:type="dxa"/>
            <w:vAlign w:val="bottom"/>
            <w:vMerge w:val="continue"/>
          </w:tcPr>
          <w:p>
            <w:pPr>
              <w:spacing w:after="0"/>
              <w:rPr>
                <w:sz w:val="8"/>
                <w:szCs w:val="8"/>
                <w:color w:val="auto"/>
              </w:rPr>
            </w:pPr>
          </w:p>
        </w:tc>
        <w:tc>
          <w:tcPr>
            <w:tcW w:w="2640" w:type="dxa"/>
            <w:vAlign w:val="bottom"/>
            <w:vMerge w:val="restart"/>
          </w:tcPr>
          <w:p>
            <w:pPr>
              <w:jc w:val="center"/>
              <w:ind w:right="235"/>
              <w:spacing w:after="0"/>
              <w:rPr>
                <w:sz w:val="20"/>
                <w:szCs w:val="20"/>
                <w:color w:val="auto"/>
              </w:rPr>
            </w:pPr>
            <w:r>
              <w:rPr>
                <w:rFonts w:ascii="Arial" w:cs="Arial" w:eastAsia="Arial" w:hAnsi="Arial"/>
                <w:sz w:val="13"/>
                <w:szCs w:val="13"/>
                <w:color w:val="auto"/>
                <w:w w:val="97"/>
              </w:rPr>
              <w:t>Benefits</w:t>
            </w:r>
          </w:p>
        </w:tc>
        <w:tc>
          <w:tcPr>
            <w:tcW w:w="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60" w:type="dxa"/>
            <w:vAlign w:val="bottom"/>
            <w:vMerge w:val="restart"/>
          </w:tcPr>
          <w:p>
            <w:pPr>
              <w:jc w:val="right"/>
              <w:ind w:right="1026"/>
              <w:spacing w:after="0"/>
              <w:rPr>
                <w:sz w:val="20"/>
                <w:szCs w:val="20"/>
                <w:color w:val="auto"/>
              </w:rPr>
            </w:pPr>
            <w:r>
              <w:rPr>
                <w:rFonts w:ascii="Arial" w:cs="Arial" w:eastAsia="Arial" w:hAnsi="Arial"/>
                <w:sz w:val="13"/>
                <w:szCs w:val="13"/>
                <w:color w:val="auto"/>
              </w:rPr>
              <w:t>9%</w:t>
            </w:r>
          </w:p>
        </w:tc>
        <w:tc>
          <w:tcPr>
            <w:tcW w:w="2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2640" w:type="dxa"/>
            <w:vAlign w:val="bottom"/>
            <w:vMerge w:val="restart"/>
          </w:tcPr>
          <w:p>
            <w:pPr>
              <w:jc w:val="center"/>
              <w:ind w:right="235"/>
              <w:spacing w:after="0"/>
              <w:rPr>
                <w:sz w:val="20"/>
                <w:szCs w:val="20"/>
                <w:color w:val="auto"/>
              </w:rPr>
            </w:pPr>
            <w:r>
              <w:rPr>
                <w:rFonts w:ascii="Arial" w:cs="Arial" w:eastAsia="Arial" w:hAnsi="Arial"/>
                <w:sz w:val="13"/>
                <w:szCs w:val="13"/>
                <w:color w:val="auto"/>
                <w:w w:val="99"/>
              </w:rPr>
              <w:t>21%</w:t>
            </w:r>
          </w:p>
        </w:tc>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560" w:type="dxa"/>
            <w:vAlign w:val="bottom"/>
            <w:vMerge w:val="restart"/>
          </w:tcPr>
          <w:p>
            <w:pPr>
              <w:jc w:val="right"/>
              <w:ind w:right="1618"/>
              <w:spacing w:after="0"/>
              <w:rPr>
                <w:sz w:val="20"/>
                <w:szCs w:val="20"/>
                <w:color w:val="auto"/>
              </w:rPr>
            </w:pPr>
            <w:r>
              <w:rPr>
                <w:rFonts w:ascii="Arial" w:cs="Arial" w:eastAsia="Arial" w:hAnsi="Arial"/>
                <w:sz w:val="16"/>
                <w:szCs w:val="16"/>
                <w:b w:val="1"/>
                <w:bCs w:val="1"/>
                <w:color w:val="003366"/>
              </w:rPr>
              <w:t>121</w:t>
            </w:r>
          </w:p>
        </w:tc>
        <w:tc>
          <w:tcPr>
            <w:tcW w:w="0" w:type="dxa"/>
            <w:vAlign w:val="bottom"/>
          </w:tcPr>
          <w:p>
            <w:pPr>
              <w:spacing w:after="0"/>
              <w:rPr>
                <w:sz w:val="1"/>
                <w:szCs w:val="1"/>
                <w:color w:val="auto"/>
              </w:rPr>
            </w:pPr>
          </w:p>
        </w:tc>
      </w:tr>
      <w:tr>
        <w:trPr>
          <w:trHeight w:val="59"/>
        </w:trPr>
        <w:tc>
          <w:tcPr>
            <w:tcW w:w="206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060" w:type="dxa"/>
            <w:vAlign w:val="bottom"/>
          </w:tcPr>
          <w:p>
            <w:pPr>
              <w:spacing w:after="0"/>
              <w:rPr>
                <w:sz w:val="17"/>
                <w:szCs w:val="17"/>
                <w:color w:val="auto"/>
              </w:rPr>
            </w:pPr>
          </w:p>
        </w:tc>
        <w:tc>
          <w:tcPr>
            <w:tcW w:w="2640" w:type="dxa"/>
            <w:vAlign w:val="bottom"/>
          </w:tcPr>
          <w:p>
            <w:pPr>
              <w:jc w:val="center"/>
              <w:ind w:left="1335"/>
              <w:spacing w:after="0"/>
              <w:rPr>
                <w:sz w:val="20"/>
                <w:szCs w:val="20"/>
                <w:color w:val="auto"/>
              </w:rPr>
            </w:pPr>
            <w:r>
              <w:rPr>
                <w:rFonts w:ascii="Arial" w:cs="Arial" w:eastAsia="Arial" w:hAnsi="Arial"/>
                <w:sz w:val="13"/>
                <w:szCs w:val="13"/>
                <w:color w:val="auto"/>
                <w:w w:val="98"/>
              </w:rPr>
              <w:t>Reinsurance</w:t>
            </w:r>
          </w:p>
        </w:tc>
        <w:tc>
          <w:tcPr>
            <w:tcW w:w="660" w:type="dxa"/>
            <w:vAlign w:val="bottom"/>
          </w:tcPr>
          <w:p>
            <w:pPr>
              <w:spacing w:after="0"/>
              <w:rPr>
                <w:sz w:val="17"/>
                <w:szCs w:val="17"/>
                <w:color w:val="auto"/>
              </w:rPr>
            </w:pPr>
          </w:p>
        </w:tc>
        <w:tc>
          <w:tcPr>
            <w:tcW w:w="1360" w:type="dxa"/>
            <w:vAlign w:val="bottom"/>
            <w:vMerge w:val="restart"/>
          </w:tcPr>
          <w:p>
            <w:pPr>
              <w:jc w:val="right"/>
              <w:ind w:right="503"/>
              <w:spacing w:after="0"/>
              <w:rPr>
                <w:sz w:val="20"/>
                <w:szCs w:val="20"/>
                <w:color w:val="auto"/>
              </w:rPr>
            </w:pPr>
            <w:r>
              <w:rPr>
                <w:rFonts w:ascii="Arial" w:cs="Arial" w:eastAsia="Arial" w:hAnsi="Arial"/>
                <w:sz w:val="16"/>
                <w:szCs w:val="16"/>
                <w:b w:val="1"/>
                <w:bCs w:val="1"/>
                <w:color w:val="003366"/>
              </w:rPr>
              <w:t>95</w:t>
            </w:r>
          </w:p>
        </w:tc>
        <w:tc>
          <w:tcPr>
            <w:tcW w:w="2560" w:type="dxa"/>
            <w:vAlign w:val="bottom"/>
          </w:tcPr>
          <w:p>
            <w:pPr>
              <w:jc w:val="right"/>
              <w:ind w:right="178"/>
              <w:spacing w:after="0"/>
              <w:rPr>
                <w:sz w:val="20"/>
                <w:szCs w:val="20"/>
                <w:color w:val="auto"/>
              </w:rPr>
            </w:pPr>
            <w:r>
              <w:rPr>
                <w:rFonts w:ascii="Arial" w:cs="Arial" w:eastAsia="Arial" w:hAnsi="Arial"/>
                <w:sz w:val="16"/>
                <w:szCs w:val="16"/>
                <w:b w:val="1"/>
                <w:bCs w:val="1"/>
                <w:color w:val="003366"/>
              </w:rPr>
              <w:t>102</w:t>
            </w:r>
          </w:p>
        </w:tc>
        <w:tc>
          <w:tcPr>
            <w:tcW w:w="0" w:type="dxa"/>
            <w:vAlign w:val="bottom"/>
          </w:tcPr>
          <w:p>
            <w:pPr>
              <w:spacing w:after="0"/>
              <w:rPr>
                <w:sz w:val="1"/>
                <w:szCs w:val="1"/>
                <w:color w:val="auto"/>
              </w:rPr>
            </w:pPr>
          </w:p>
        </w:tc>
      </w:tr>
      <w:tr>
        <w:trPr>
          <w:trHeight w:val="155"/>
        </w:trPr>
        <w:tc>
          <w:tcPr>
            <w:tcW w:w="2060" w:type="dxa"/>
            <w:vAlign w:val="bottom"/>
            <w:vMerge w:val="restart"/>
          </w:tcPr>
          <w:p>
            <w:pPr>
              <w:jc w:val="center"/>
              <w:ind w:right="1126"/>
              <w:spacing w:after="0"/>
              <w:rPr>
                <w:sz w:val="20"/>
                <w:szCs w:val="20"/>
                <w:color w:val="auto"/>
              </w:rPr>
            </w:pPr>
            <w:r>
              <w:rPr>
                <w:rFonts w:ascii="Arial" w:cs="Arial" w:eastAsia="Arial" w:hAnsi="Arial"/>
                <w:sz w:val="13"/>
                <w:szCs w:val="13"/>
                <w:color w:val="auto"/>
                <w:w w:val="99"/>
              </w:rPr>
              <w:t>Personal Lines</w:t>
            </w:r>
          </w:p>
        </w:tc>
        <w:tc>
          <w:tcPr>
            <w:tcW w:w="2640" w:type="dxa"/>
            <w:vAlign w:val="bottom"/>
          </w:tcPr>
          <w:p>
            <w:pPr>
              <w:jc w:val="right"/>
              <w:ind w:right="475"/>
              <w:spacing w:after="0"/>
              <w:rPr>
                <w:sz w:val="20"/>
                <w:szCs w:val="20"/>
                <w:color w:val="auto"/>
              </w:rPr>
            </w:pPr>
            <w:r>
              <w:rPr>
                <w:rFonts w:ascii="Arial" w:cs="Arial" w:eastAsia="Arial" w:hAnsi="Arial"/>
                <w:sz w:val="13"/>
                <w:szCs w:val="13"/>
                <w:color w:val="auto"/>
              </w:rPr>
              <w:t>1%</w:t>
            </w:r>
          </w:p>
        </w:tc>
        <w:tc>
          <w:tcPr>
            <w:tcW w:w="66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FFFFFF"/>
              </w:rPr>
              <w:t>100</w:t>
            </w:r>
          </w:p>
        </w:tc>
        <w:tc>
          <w:tcPr>
            <w:tcW w:w="136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2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60" w:type="dxa"/>
            <w:vAlign w:val="bottom"/>
          </w:tcPr>
          <w:p>
            <w:pPr>
              <w:jc w:val="right"/>
              <w:ind w:right="1466"/>
              <w:spacing w:after="0"/>
              <w:rPr>
                <w:sz w:val="20"/>
                <w:szCs w:val="20"/>
                <w:color w:val="auto"/>
              </w:rPr>
            </w:pPr>
            <w:r>
              <w:rPr>
                <w:rFonts w:ascii="Arial" w:cs="Arial" w:eastAsia="Arial" w:hAnsi="Arial"/>
                <w:sz w:val="13"/>
                <w:szCs w:val="13"/>
                <w:color w:val="auto"/>
              </w:rPr>
              <w:t>6%</w:t>
            </w:r>
          </w:p>
        </w:tc>
        <w:tc>
          <w:tcPr>
            <w:tcW w:w="2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480" w:type="dxa"/>
        <w:tblCellMar>
          <w:top w:w="0" w:type="dxa"/>
          <w:left w:w="0" w:type="dxa"/>
          <w:bottom w:w="0" w:type="dxa"/>
          <w:right w:w="0" w:type="dxa"/>
        </w:tblCellMar>
      </w:tblPr>
      <w:tr>
        <w:trPr>
          <w:trHeight w:val="217"/>
        </w:trPr>
        <w:tc>
          <w:tcPr>
            <w:tcW w:w="980" w:type="dxa"/>
            <w:vAlign w:val="bottom"/>
            <w:vMerge w:val="restart"/>
          </w:tcPr>
          <w:p>
            <w:pPr>
              <w:jc w:val="center"/>
              <w:ind w:right="235"/>
              <w:spacing w:after="0"/>
              <w:rPr>
                <w:sz w:val="20"/>
                <w:szCs w:val="20"/>
                <w:color w:val="auto"/>
              </w:rPr>
            </w:pPr>
            <w:r>
              <w:rPr>
                <w:rFonts w:ascii="Arial" w:cs="Arial" w:eastAsia="Arial" w:hAnsi="Arial"/>
                <w:sz w:val="13"/>
                <w:szCs w:val="13"/>
                <w:color w:val="auto"/>
                <w:w w:val="98"/>
              </w:rPr>
              <w:t>Commercial</w:t>
            </w:r>
          </w:p>
        </w:tc>
        <w:tc>
          <w:tcPr>
            <w:tcW w:w="1920" w:type="dxa"/>
            <w:vAlign w:val="bottom"/>
          </w:tcPr>
          <w:p>
            <w:pPr>
              <w:jc w:val="right"/>
              <w:ind w:right="1478"/>
              <w:spacing w:after="0"/>
              <w:rPr>
                <w:sz w:val="20"/>
                <w:szCs w:val="20"/>
                <w:color w:val="auto"/>
              </w:rPr>
            </w:pPr>
            <w:r>
              <w:rPr>
                <w:rFonts w:ascii="Arial" w:cs="Arial" w:eastAsia="Arial" w:hAnsi="Arial"/>
                <w:sz w:val="16"/>
                <w:szCs w:val="16"/>
                <w:b w:val="1"/>
                <w:bCs w:val="1"/>
                <w:color w:val="FFFFFF"/>
              </w:rPr>
              <w:t>0</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980" w:type="dxa"/>
            <w:vAlign w:val="bottom"/>
            <w:vMerge w:val="continue"/>
          </w:tcPr>
          <w:p>
            <w:pPr>
              <w:spacing w:after="0"/>
              <w:rPr>
                <w:sz w:val="6"/>
                <w:szCs w:val="6"/>
                <w:color w:val="auto"/>
              </w:rPr>
            </w:pPr>
          </w:p>
        </w:tc>
        <w:tc>
          <w:tcPr>
            <w:tcW w:w="1920" w:type="dxa"/>
            <w:vAlign w:val="bottom"/>
            <w:vMerge w:val="restart"/>
          </w:tcPr>
          <w:p>
            <w:pPr>
              <w:jc w:val="right"/>
              <w:ind w:right="458"/>
              <w:spacing w:after="0"/>
              <w:rPr>
                <w:sz w:val="20"/>
                <w:szCs w:val="20"/>
                <w:color w:val="auto"/>
              </w:rPr>
            </w:pPr>
            <w:r>
              <w:rPr>
                <w:rFonts w:ascii="Arial" w:cs="Arial" w:eastAsia="Arial" w:hAnsi="Arial"/>
                <w:sz w:val="16"/>
                <w:szCs w:val="16"/>
                <w:b w:val="1"/>
                <w:bCs w:val="1"/>
                <w:color w:val="003366"/>
              </w:rPr>
              <w:t>2005</w:t>
            </w:r>
          </w:p>
        </w:tc>
        <w:tc>
          <w:tcPr>
            <w:tcW w:w="1420" w:type="dxa"/>
            <w:vAlign w:val="bottom"/>
            <w:vMerge w:val="restart"/>
          </w:tcPr>
          <w:p>
            <w:pPr>
              <w:jc w:val="right"/>
              <w:ind w:right="458"/>
              <w:spacing w:after="0"/>
              <w:rPr>
                <w:sz w:val="20"/>
                <w:szCs w:val="20"/>
                <w:color w:val="auto"/>
              </w:rPr>
            </w:pPr>
            <w:r>
              <w:rPr>
                <w:rFonts w:ascii="Arial" w:cs="Arial" w:eastAsia="Arial" w:hAnsi="Arial"/>
                <w:sz w:val="16"/>
                <w:szCs w:val="16"/>
                <w:b w:val="1"/>
                <w:bCs w:val="1"/>
                <w:color w:val="003366"/>
              </w:rPr>
              <w:t>2006</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003366"/>
              </w:rPr>
              <w:t>2007</w:t>
            </w:r>
          </w:p>
        </w:tc>
        <w:tc>
          <w:tcPr>
            <w:tcW w:w="0" w:type="dxa"/>
            <w:vAlign w:val="bottom"/>
          </w:tcPr>
          <w:p>
            <w:pPr>
              <w:spacing w:after="0"/>
              <w:rPr>
                <w:sz w:val="1"/>
                <w:szCs w:val="1"/>
                <w:color w:val="auto"/>
              </w:rPr>
            </w:pPr>
          </w:p>
        </w:tc>
      </w:tr>
      <w:tr>
        <w:trPr>
          <w:trHeight w:val="164"/>
        </w:trPr>
        <w:tc>
          <w:tcPr>
            <w:tcW w:w="980" w:type="dxa"/>
            <w:vAlign w:val="bottom"/>
          </w:tcPr>
          <w:p>
            <w:pPr>
              <w:jc w:val="center"/>
              <w:ind w:right="255"/>
              <w:spacing w:after="0"/>
              <w:rPr>
                <w:sz w:val="20"/>
                <w:szCs w:val="20"/>
                <w:color w:val="auto"/>
              </w:rPr>
            </w:pPr>
            <w:r>
              <w:rPr>
                <w:rFonts w:ascii="Arial" w:cs="Arial" w:eastAsia="Arial" w:hAnsi="Arial"/>
                <w:sz w:val="13"/>
                <w:szCs w:val="13"/>
                <w:color w:val="auto"/>
                <w:w w:val="97"/>
              </w:rPr>
              <w:t>P&amp;C</w:t>
            </w:r>
          </w:p>
        </w:tc>
        <w:tc>
          <w:tcPr>
            <w:tcW w:w="19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jc w:val="center"/>
              <w:ind w:right="255"/>
              <w:spacing w:after="0"/>
              <w:rPr>
                <w:sz w:val="20"/>
                <w:szCs w:val="20"/>
                <w:color w:val="auto"/>
              </w:rPr>
            </w:pPr>
            <w:r>
              <w:rPr>
                <w:rFonts w:ascii="Arial" w:cs="Arial" w:eastAsia="Arial" w:hAnsi="Arial"/>
                <w:sz w:val="13"/>
                <w:szCs w:val="13"/>
                <w:color w:val="auto"/>
                <w:w w:val="99"/>
              </w:rPr>
              <w:t>63%</w:t>
            </w:r>
          </w:p>
        </w:tc>
        <w:tc>
          <w:tcPr>
            <w:tcW w:w="1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132647"/>
        </w:rPr>
        <w:t>2007 Total Revenues: $800 million</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132647"/>
        </w:rPr>
        <w:t>SERVICES AND CLIENTS</w:t>
      </w:r>
    </w:p>
    <w:p>
      <w:pPr>
        <w:sectPr>
          <w:pgSz w:w="11900" w:h="16838" w:orient="portrait"/>
          <w:cols w:equalWidth="0" w:num="1">
            <w:col w:w="10640"/>
          </w:cols>
          <w:pgMar w:left="440" w:top="174" w:right="8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880" w:hanging="195"/>
        <w:spacing w:after="0"/>
        <w:tabs>
          <w:tab w:leader="none" w:pos="1880" w:val="left"/>
        </w:tabs>
        <w:numPr>
          <w:ilvl w:val="0"/>
          <w:numId w:val="11"/>
        </w:numPr>
        <w:rPr>
          <w:rFonts w:ascii="Arial" w:cs="Arial" w:eastAsia="Arial" w:hAnsi="Arial"/>
          <w:sz w:val="22"/>
          <w:szCs w:val="22"/>
          <w:color w:val="132647"/>
        </w:rPr>
      </w:pPr>
      <w:r>
        <w:rPr>
          <w:rFonts w:ascii="Arial" w:cs="Arial" w:eastAsia="Arial" w:hAnsi="Arial"/>
          <w:sz w:val="22"/>
          <w:szCs w:val="22"/>
          <w:color w:val="132647"/>
        </w:rPr>
        <w:t>Personal lines</w:t>
      </w:r>
    </w:p>
    <w:p>
      <w:pPr>
        <w:spacing w:after="0" w:line="146" w:lineRule="exact"/>
        <w:rPr>
          <w:rFonts w:ascii="Arial" w:cs="Arial" w:eastAsia="Arial" w:hAnsi="Arial"/>
          <w:sz w:val="22"/>
          <w:szCs w:val="22"/>
          <w:color w:val="132647"/>
        </w:rPr>
      </w:pPr>
    </w:p>
    <w:p>
      <w:pPr>
        <w:ind w:left="1880" w:hanging="195"/>
        <w:spacing w:after="0"/>
        <w:tabs>
          <w:tab w:leader="none" w:pos="1880" w:val="left"/>
        </w:tabs>
        <w:numPr>
          <w:ilvl w:val="0"/>
          <w:numId w:val="11"/>
        </w:numPr>
        <w:rPr>
          <w:rFonts w:ascii="Arial" w:cs="Arial" w:eastAsia="Arial" w:hAnsi="Arial"/>
          <w:sz w:val="22"/>
          <w:szCs w:val="22"/>
          <w:color w:val="132647"/>
        </w:rPr>
      </w:pPr>
      <w:r>
        <w:rPr>
          <w:rFonts w:ascii="Arial" w:cs="Arial" w:eastAsia="Arial" w:hAnsi="Arial"/>
          <w:sz w:val="22"/>
          <w:szCs w:val="22"/>
          <w:color w:val="132647"/>
        </w:rPr>
        <w:t>Employee benefits</w:t>
      </w:r>
    </w:p>
    <w:p>
      <w:pPr>
        <w:spacing w:after="0" w:line="134" w:lineRule="exact"/>
        <w:rPr>
          <w:rFonts w:ascii="Arial" w:cs="Arial" w:eastAsia="Arial" w:hAnsi="Arial"/>
          <w:sz w:val="22"/>
          <w:szCs w:val="22"/>
          <w:color w:val="132647"/>
        </w:rPr>
      </w:pPr>
    </w:p>
    <w:p>
      <w:pPr>
        <w:ind w:left="1880" w:hanging="195"/>
        <w:spacing w:after="0"/>
        <w:tabs>
          <w:tab w:leader="none" w:pos="1880" w:val="left"/>
        </w:tabs>
        <w:numPr>
          <w:ilvl w:val="0"/>
          <w:numId w:val="11"/>
        </w:numPr>
        <w:rPr>
          <w:rFonts w:ascii="Arial" w:cs="Arial" w:eastAsia="Arial" w:hAnsi="Arial"/>
          <w:sz w:val="22"/>
          <w:szCs w:val="22"/>
          <w:color w:val="132647"/>
        </w:rPr>
      </w:pPr>
      <w:r>
        <w:rPr>
          <w:rFonts w:ascii="Arial" w:cs="Arial" w:eastAsia="Arial" w:hAnsi="Arial"/>
          <w:sz w:val="22"/>
          <w:szCs w:val="22"/>
          <w:color w:val="132647"/>
        </w:rPr>
        <w:t>Property &amp; casualty</w:t>
      </w:r>
    </w:p>
    <w:p>
      <w:pPr>
        <w:spacing w:after="0" w:line="49" w:lineRule="exact"/>
        <w:rPr>
          <w:rFonts w:ascii="Arial" w:cs="Arial" w:eastAsia="Arial" w:hAnsi="Arial"/>
          <w:sz w:val="22"/>
          <w:szCs w:val="22"/>
          <w:color w:val="132647"/>
        </w:rPr>
      </w:pPr>
    </w:p>
    <w:p>
      <w:pPr>
        <w:ind w:left="2100" w:hanging="133"/>
        <w:spacing w:after="0"/>
        <w:tabs>
          <w:tab w:leader="none" w:pos="2100" w:val="left"/>
        </w:tabs>
        <w:numPr>
          <w:ilvl w:val="1"/>
          <w:numId w:val="11"/>
        </w:numPr>
        <w:rPr>
          <w:rFonts w:ascii="Arial" w:cs="Arial" w:eastAsia="Arial" w:hAnsi="Arial"/>
          <w:sz w:val="19"/>
          <w:szCs w:val="19"/>
          <w:color w:val="132647"/>
        </w:rPr>
      </w:pPr>
      <w:r>
        <w:rPr>
          <w:rFonts w:ascii="Arial" w:cs="Arial" w:eastAsia="Arial" w:hAnsi="Arial"/>
          <w:sz w:val="19"/>
          <w:szCs w:val="19"/>
          <w:color w:val="132647"/>
        </w:rPr>
        <w:t>Construction</w:t>
      </w:r>
    </w:p>
    <w:p>
      <w:pPr>
        <w:spacing w:after="0" w:line="51" w:lineRule="exact"/>
        <w:rPr>
          <w:rFonts w:ascii="Arial" w:cs="Arial" w:eastAsia="Arial" w:hAnsi="Arial"/>
          <w:sz w:val="19"/>
          <w:szCs w:val="19"/>
          <w:color w:val="132647"/>
        </w:rPr>
      </w:pPr>
    </w:p>
    <w:p>
      <w:pPr>
        <w:ind w:left="2100" w:hanging="133"/>
        <w:spacing w:after="0"/>
        <w:tabs>
          <w:tab w:leader="none" w:pos="2100" w:val="left"/>
        </w:tabs>
        <w:numPr>
          <w:ilvl w:val="1"/>
          <w:numId w:val="11"/>
        </w:numPr>
        <w:rPr>
          <w:rFonts w:ascii="Arial" w:cs="Arial" w:eastAsia="Arial" w:hAnsi="Arial"/>
          <w:sz w:val="19"/>
          <w:szCs w:val="19"/>
          <w:color w:val="132647"/>
        </w:rPr>
      </w:pPr>
      <w:r>
        <w:rPr>
          <w:rFonts w:ascii="Arial" w:cs="Arial" w:eastAsia="Arial" w:hAnsi="Arial"/>
          <w:sz w:val="19"/>
          <w:szCs w:val="19"/>
          <w:color w:val="132647"/>
        </w:rPr>
        <w:t>Healthcare</w:t>
      </w:r>
    </w:p>
    <w:p>
      <w:pPr>
        <w:spacing w:after="0" w:line="51" w:lineRule="exact"/>
        <w:rPr>
          <w:rFonts w:ascii="Arial" w:cs="Arial" w:eastAsia="Arial" w:hAnsi="Arial"/>
          <w:sz w:val="19"/>
          <w:szCs w:val="19"/>
          <w:color w:val="132647"/>
        </w:rPr>
      </w:pPr>
    </w:p>
    <w:p>
      <w:pPr>
        <w:ind w:left="2100" w:hanging="133"/>
        <w:spacing w:after="0"/>
        <w:tabs>
          <w:tab w:leader="none" w:pos="2100" w:val="left"/>
        </w:tabs>
        <w:numPr>
          <w:ilvl w:val="1"/>
          <w:numId w:val="11"/>
        </w:numPr>
        <w:rPr>
          <w:rFonts w:ascii="Arial" w:cs="Arial" w:eastAsia="Arial" w:hAnsi="Arial"/>
          <w:sz w:val="19"/>
          <w:szCs w:val="19"/>
          <w:color w:val="132647"/>
        </w:rPr>
      </w:pPr>
      <w:r>
        <w:rPr>
          <w:rFonts w:ascii="Arial" w:cs="Arial" w:eastAsia="Arial" w:hAnsi="Arial"/>
          <w:sz w:val="19"/>
          <w:szCs w:val="19"/>
          <w:color w:val="132647"/>
        </w:rPr>
        <w:t>Real estate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216" w:hanging="216"/>
        <w:spacing w:after="0" w:line="238" w:lineRule="auto"/>
        <w:tabs>
          <w:tab w:leader="none" w:pos="216" w:val="left"/>
        </w:tabs>
        <w:numPr>
          <w:ilvl w:val="0"/>
          <w:numId w:val="12"/>
        </w:numPr>
        <w:rPr>
          <w:rFonts w:ascii="Arial" w:cs="Arial" w:eastAsia="Arial" w:hAnsi="Arial"/>
          <w:sz w:val="22"/>
          <w:szCs w:val="22"/>
          <w:color w:val="132647"/>
        </w:rPr>
      </w:pPr>
      <w:r>
        <w:rPr>
          <w:rFonts w:ascii="Arial" w:cs="Arial" w:eastAsia="Arial" w:hAnsi="Arial"/>
          <w:sz w:val="22"/>
          <w:szCs w:val="22"/>
          <w:color w:val="132647"/>
        </w:rPr>
        <w:t>Client base ranges from personal to large national accounts</w:t>
      </w:r>
    </w:p>
    <w:p>
      <w:pPr>
        <w:spacing w:after="0" w:line="214" w:lineRule="exact"/>
        <w:rPr>
          <w:rFonts w:ascii="Arial" w:cs="Arial" w:eastAsia="Arial" w:hAnsi="Arial"/>
          <w:sz w:val="22"/>
          <w:szCs w:val="22"/>
          <w:color w:val="132647"/>
        </w:rPr>
      </w:pPr>
    </w:p>
    <w:p>
      <w:pPr>
        <w:ind w:left="216" w:right="420" w:hanging="216"/>
        <w:spacing w:after="0" w:line="233" w:lineRule="auto"/>
        <w:tabs>
          <w:tab w:leader="none" w:pos="216" w:val="left"/>
        </w:tabs>
        <w:numPr>
          <w:ilvl w:val="0"/>
          <w:numId w:val="12"/>
        </w:numPr>
        <w:rPr>
          <w:rFonts w:ascii="Arial" w:cs="Arial" w:eastAsia="Arial" w:hAnsi="Arial"/>
          <w:sz w:val="22"/>
          <w:szCs w:val="22"/>
          <w:color w:val="132647"/>
        </w:rPr>
      </w:pPr>
      <w:r>
        <w:rPr>
          <w:rFonts w:ascii="Arial" w:cs="Arial" w:eastAsia="Arial" w:hAnsi="Arial"/>
          <w:sz w:val="22"/>
          <w:szCs w:val="22"/>
          <w:color w:val="132647"/>
        </w:rPr>
        <w:t>Primarily comprised of middle market and major commercial and industrial accounts</w:t>
      </w:r>
    </w:p>
    <w:p>
      <w:pPr>
        <w:spacing w:after="0" w:line="594" w:lineRule="exact"/>
        <w:rPr>
          <w:sz w:val="20"/>
          <w:szCs w:val="20"/>
          <w:color w:val="auto"/>
        </w:rPr>
      </w:pPr>
    </w:p>
    <w:p>
      <w:pPr>
        <w:sectPr>
          <w:pgSz w:w="11900" w:h="16838" w:orient="portrait"/>
          <w:cols w:equalWidth="0" w:num="2">
            <w:col w:w="5604" w:space="720"/>
            <w:col w:w="4316"/>
          </w:cols>
          <w:pgMar w:left="440" w:top="174" w:right="819" w:bottom="1440" w:gutter="0" w:footer="0" w:header="0"/>
          <w:type w:val="continuous"/>
        </w:sectPr>
      </w:pPr>
    </w:p>
    <w:p>
      <w:pPr>
        <w:spacing w:after="0" w:line="290"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132647"/>
        </w:rPr>
        <w:t>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132647"/>
        </w:rPr>
        <w:t>(1) See appendix for definitions of non-GAAP measures</w:t>
      </w:r>
    </w:p>
    <w:p>
      <w:pPr>
        <w:sectPr>
          <w:pgSz w:w="11900" w:h="16838" w:orient="portrait"/>
          <w:cols w:equalWidth="0" w:num="1">
            <w:col w:w="10640"/>
          </w:cols>
          <w:pgMar w:left="440" w:top="174" w:right="81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4379"/>
        <w:spacing w:after="0" w:line="238" w:lineRule="auto"/>
        <w:rPr>
          <w:sz w:val="20"/>
          <w:szCs w:val="20"/>
          <w:color w:val="auto"/>
        </w:rPr>
      </w:pPr>
      <w:r>
        <w:rPr>
          <w:rFonts w:ascii="Arial" w:cs="Arial" w:eastAsia="Arial" w:hAnsi="Arial"/>
          <w:sz w:val="60"/>
          <w:szCs w:val="60"/>
          <w:color w:val="132647"/>
        </w:rPr>
        <w:t>Pro forma combined company</w:t>
      </w:r>
    </w:p>
    <w:p>
      <w:pPr>
        <w:sectPr>
          <w:pgSz w:w="11900" w:h="16838" w:orient="portrait"/>
          <w:cols w:equalWidth="0" w:num="1">
            <w:col w:w="9779"/>
          </w:cols>
          <w:pgMar w:left="680" w:top="1440" w:right="1440" w:bottom="1440" w:gutter="0" w:footer="0" w:header="0"/>
        </w:sectPr>
      </w:pPr>
    </w:p>
    <w:bookmarkStart w:id="24" w:name="page25"/>
    <w:bookmarkEnd w:id="24"/>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Strategic objectives</w:t>
      </w:r>
    </w:p>
    <w:p>
      <w:pPr>
        <w:sectPr>
          <w:pgSz w:w="11900" w:h="16838" w:orient="portrait"/>
          <w:cols w:equalWidth="0" w:num="1">
            <w:col w:w="10840"/>
          </w:cols>
          <w:pgMar w:left="660" w:top="17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800"/>
        <w:spacing w:after="0"/>
        <w:rPr>
          <w:sz w:val="20"/>
          <w:szCs w:val="20"/>
          <w:color w:val="auto"/>
        </w:rPr>
      </w:pPr>
      <w:r>
        <w:rPr>
          <w:rFonts w:ascii="Arial" w:cs="Arial" w:eastAsia="Arial" w:hAnsi="Arial"/>
          <w:sz w:val="25"/>
          <w:szCs w:val="25"/>
          <w:b w:val="1"/>
          <w:bCs w:val="1"/>
          <w:color w:val="132647"/>
        </w:rPr>
        <w:t>ENHANCE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800"/>
        <w:spacing w:after="0"/>
        <w:rPr>
          <w:sz w:val="20"/>
          <w:szCs w:val="20"/>
          <w:color w:val="auto"/>
        </w:rPr>
      </w:pPr>
      <w:r>
        <w:rPr>
          <w:rFonts w:ascii="Arial" w:cs="Arial" w:eastAsia="Arial" w:hAnsi="Arial"/>
          <w:sz w:val="25"/>
          <w:szCs w:val="25"/>
          <w:b w:val="1"/>
          <w:bCs w:val="1"/>
          <w:color w:val="132647"/>
        </w:rPr>
        <w:t>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800"/>
        <w:spacing w:after="0"/>
        <w:rPr>
          <w:sz w:val="20"/>
          <w:szCs w:val="20"/>
          <w:color w:val="auto"/>
        </w:rPr>
      </w:pPr>
      <w:r>
        <w:rPr>
          <w:rFonts w:ascii="Arial" w:cs="Arial" w:eastAsia="Arial" w:hAnsi="Arial"/>
          <w:sz w:val="24"/>
          <w:szCs w:val="24"/>
          <w:b w:val="1"/>
          <w:bCs w:val="1"/>
          <w:color w:val="132647"/>
        </w:rPr>
        <w:t>ADD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132647"/>
        </w:rPr>
        <w:t>Critical mass in key areas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2"/>
          <w:szCs w:val="22"/>
          <w:color w:val="132647"/>
        </w:rPr>
        <w:t>Opportunity for accelerated growth</w:t>
      </w:r>
    </w:p>
    <w:p>
      <w:pPr>
        <w:spacing w:after="0" w:line="182" w:lineRule="exact"/>
        <w:rPr>
          <w:sz w:val="20"/>
          <w:szCs w:val="20"/>
          <w:color w:val="auto"/>
        </w:rPr>
      </w:pPr>
    </w:p>
    <w:p>
      <w:pPr>
        <w:ind w:left="640" w:right="720"/>
        <w:spacing w:after="0" w:line="227" w:lineRule="auto"/>
        <w:rPr>
          <w:sz w:val="20"/>
          <w:szCs w:val="20"/>
          <w:color w:val="auto"/>
        </w:rPr>
      </w:pPr>
      <w:r>
        <w:rPr>
          <w:rFonts w:ascii="Arial" w:cs="Arial" w:eastAsia="Arial" w:hAnsi="Arial"/>
          <w:sz w:val="22"/>
          <w:szCs w:val="22"/>
          <w:color w:val="132647"/>
        </w:rPr>
        <w:t>California, Florida, Texas, Illinois, New York, Boston, New Jersey, Philadelphia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132647"/>
        </w:rPr>
        <w:t>Leverage unique specialty expertise throughout our retail network</w:t>
      </w:r>
    </w:p>
    <w:p>
      <w:pPr>
        <w:spacing w:after="0" w:line="198" w:lineRule="exact"/>
        <w:rPr>
          <w:sz w:val="20"/>
          <w:szCs w:val="20"/>
          <w:color w:val="auto"/>
        </w:rPr>
      </w:pPr>
    </w:p>
    <w:p>
      <w:pPr>
        <w:ind w:left="640"/>
        <w:spacing w:after="0" w:line="227" w:lineRule="auto"/>
        <w:rPr>
          <w:sz w:val="20"/>
          <w:szCs w:val="20"/>
          <w:color w:val="auto"/>
        </w:rPr>
      </w:pPr>
      <w:r>
        <w:rPr>
          <w:rFonts w:ascii="Arial" w:cs="Arial" w:eastAsia="Arial" w:hAnsi="Arial"/>
          <w:sz w:val="22"/>
          <w:szCs w:val="22"/>
          <w:color w:val="132647"/>
        </w:rPr>
        <w:t>Personal lines, energy, aerospace, real estate, health care, construction, complex property, executive risk,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132647"/>
        </w:rPr>
        <w:t>Implement Shaping our Future strategy for profitable growth</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22"/>
          <w:szCs w:val="22"/>
          <w:color w:val="132647"/>
        </w:rPr>
        <w:t>Demonstrated execution with measurable success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2"/>
          <w:szCs w:val="22"/>
          <w:color w:val="132647"/>
        </w:rPr>
        <w:t xml:space="preserve">Post integration launch </w:t>
      </w:r>
      <w:r>
        <w:rPr>
          <w:rFonts w:ascii="Arial" w:cs="Arial" w:eastAsia="Arial" w:hAnsi="Arial"/>
          <w:sz w:val="22"/>
          <w:szCs w:val="22"/>
          <w:b w:val="1"/>
          <w:bCs w:val="1"/>
          <w:color w:val="132647"/>
        </w:rPr>
        <w:t>Shaping our Future</w:t>
      </w:r>
      <w:r>
        <w:rPr>
          <w:rFonts w:ascii="Arial" w:cs="Arial" w:eastAsia="Arial" w:hAnsi="Arial"/>
          <w:sz w:val="22"/>
          <w:szCs w:val="22"/>
          <w:color w:val="132647"/>
        </w:rPr>
        <w:t xml:space="preserve"> HRH</w:t>
      </w:r>
    </w:p>
    <w:p>
      <w:pPr>
        <w:spacing w:after="0" w:line="200" w:lineRule="exact"/>
        <w:rPr>
          <w:sz w:val="20"/>
          <w:szCs w:val="20"/>
          <w:color w:val="auto"/>
        </w:rPr>
      </w:pPr>
    </w:p>
    <w:p>
      <w:pPr>
        <w:sectPr>
          <w:pgSz w:w="11900" w:h="16838" w:orient="portrait"/>
          <w:cols w:equalWidth="0" w:num="2">
            <w:col w:w="2340" w:space="720"/>
            <w:col w:w="7780"/>
          </w:cols>
          <w:pgMar w:left="660" w:top="17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140"/>
        <w:spacing w:after="0"/>
        <w:rPr>
          <w:sz w:val="20"/>
          <w:szCs w:val="20"/>
          <w:color w:val="auto"/>
        </w:rPr>
      </w:pPr>
      <w:r>
        <w:rPr>
          <w:rFonts w:ascii="Arial" w:cs="Arial" w:eastAsia="Arial" w:hAnsi="Arial"/>
          <w:sz w:val="21"/>
          <w:szCs w:val="21"/>
          <w:color w:val="132647"/>
        </w:rPr>
        <w:t>12</w:t>
      </w:r>
    </w:p>
    <w:p>
      <w:pPr>
        <w:sectPr>
          <w:pgSz w:w="11900" w:h="16838" w:orient="portrait"/>
          <w:cols w:equalWidth="0" w:num="1">
            <w:col w:w="10840"/>
          </w:cols>
          <w:pgMar w:left="660" w:top="174" w:right="3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Broker rankings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620" w:type="dxa"/>
            <w:vAlign w:val="bottom"/>
          </w:tcPr>
          <w:p>
            <w:pPr>
              <w:spacing w:after="0"/>
              <w:rPr>
                <w:sz w:val="21"/>
                <w:szCs w:val="21"/>
                <w:color w:val="auto"/>
              </w:rPr>
            </w:pPr>
          </w:p>
        </w:tc>
        <w:tc>
          <w:tcPr>
            <w:tcW w:w="3380" w:type="dxa"/>
            <w:vAlign w:val="bottom"/>
          </w:tcPr>
          <w:p>
            <w:pPr>
              <w:ind w:left="1000"/>
              <w:spacing w:after="0"/>
              <w:rPr>
                <w:sz w:val="20"/>
                <w:szCs w:val="20"/>
                <w:color w:val="auto"/>
              </w:rPr>
            </w:pPr>
            <w:r>
              <w:rPr>
                <w:rFonts w:ascii="Arial" w:cs="Arial" w:eastAsia="Arial" w:hAnsi="Arial"/>
                <w:sz w:val="19"/>
                <w:szCs w:val="19"/>
                <w:b w:val="1"/>
                <w:bCs w:val="1"/>
                <w:color w:val="auto"/>
              </w:rPr>
              <w:t>U.S. Broker Rankings</w:t>
            </w:r>
          </w:p>
        </w:tc>
        <w:tc>
          <w:tcPr>
            <w:tcW w:w="1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380" w:type="dxa"/>
            <w:vAlign w:val="bottom"/>
          </w:tcPr>
          <w:p>
            <w:pPr>
              <w:ind w:left="880"/>
              <w:spacing w:after="0"/>
              <w:rPr>
                <w:sz w:val="20"/>
                <w:szCs w:val="20"/>
                <w:color w:val="auto"/>
              </w:rPr>
            </w:pPr>
            <w:r>
              <w:rPr>
                <w:rFonts w:ascii="Arial" w:cs="Arial" w:eastAsia="Arial" w:hAnsi="Arial"/>
                <w:sz w:val="19"/>
                <w:szCs w:val="19"/>
                <w:b w:val="1"/>
                <w:bCs w:val="1"/>
                <w:color w:val="auto"/>
              </w:rPr>
              <w:t>Global Broker Rankings</w:t>
            </w:r>
          </w:p>
        </w:tc>
        <w:tc>
          <w:tcPr>
            <w:tcW w:w="1120" w:type="dxa"/>
            <w:vAlign w:val="bottom"/>
          </w:tcPr>
          <w:p>
            <w:pPr>
              <w:spacing w:after="0"/>
              <w:rPr>
                <w:sz w:val="21"/>
                <w:szCs w:val="21"/>
                <w:color w:val="auto"/>
              </w:rPr>
            </w:pPr>
          </w:p>
        </w:tc>
      </w:tr>
      <w:tr>
        <w:trPr>
          <w:trHeight w:val="200"/>
        </w:trPr>
        <w:tc>
          <w:tcPr>
            <w:tcW w:w="620" w:type="dxa"/>
            <w:vAlign w:val="bottom"/>
          </w:tcPr>
          <w:p>
            <w:pPr>
              <w:spacing w:after="0"/>
              <w:rPr>
                <w:sz w:val="17"/>
                <w:szCs w:val="17"/>
                <w:color w:val="auto"/>
              </w:rPr>
            </w:pPr>
          </w:p>
        </w:tc>
        <w:tc>
          <w:tcPr>
            <w:tcW w:w="4740" w:type="dxa"/>
            <w:vAlign w:val="bottom"/>
            <w:gridSpan w:val="2"/>
          </w:tcPr>
          <w:p>
            <w:pPr>
              <w:ind w:left="3200"/>
              <w:spacing w:after="0" w:line="200" w:lineRule="exact"/>
              <w:rPr>
                <w:sz w:val="20"/>
                <w:szCs w:val="20"/>
                <w:color w:val="auto"/>
              </w:rPr>
            </w:pPr>
            <w:r>
              <w:rPr>
                <w:rFonts w:ascii="Arial" w:cs="Arial" w:eastAsia="Arial" w:hAnsi="Arial"/>
                <w:sz w:val="18"/>
                <w:szCs w:val="18"/>
                <w:b w:val="1"/>
                <w:bCs w:val="1"/>
                <w:color w:val="auto"/>
              </w:rPr>
              <w:t>2006 Brokerage</w:t>
            </w:r>
          </w:p>
        </w:tc>
        <w:tc>
          <w:tcPr>
            <w:tcW w:w="860" w:type="dxa"/>
            <w:vAlign w:val="bottom"/>
          </w:tcPr>
          <w:p>
            <w:pPr>
              <w:spacing w:after="0"/>
              <w:rPr>
                <w:sz w:val="17"/>
                <w:szCs w:val="17"/>
                <w:color w:val="auto"/>
              </w:rPr>
            </w:pPr>
          </w:p>
        </w:tc>
        <w:tc>
          <w:tcPr>
            <w:tcW w:w="4500" w:type="dxa"/>
            <w:vAlign w:val="bottom"/>
            <w:gridSpan w:val="2"/>
          </w:tcPr>
          <w:p>
            <w:pPr>
              <w:ind w:left="3200"/>
              <w:spacing w:after="0" w:line="200" w:lineRule="exact"/>
              <w:rPr>
                <w:sz w:val="20"/>
                <w:szCs w:val="20"/>
                <w:color w:val="auto"/>
              </w:rPr>
            </w:pPr>
            <w:r>
              <w:rPr>
                <w:rFonts w:ascii="Arial" w:cs="Arial" w:eastAsia="Arial" w:hAnsi="Arial"/>
                <w:sz w:val="18"/>
                <w:szCs w:val="18"/>
                <w:b w:val="1"/>
                <w:bCs w:val="1"/>
                <w:color w:val="auto"/>
                <w:w w:val="95"/>
              </w:rPr>
              <w:t>2007 Brokerage</w:t>
            </w:r>
          </w:p>
        </w:tc>
      </w:tr>
      <w:tr>
        <w:trPr>
          <w:trHeight w:val="233"/>
        </w:trPr>
        <w:tc>
          <w:tcPr>
            <w:tcW w:w="620" w:type="dxa"/>
            <w:vAlign w:val="bottom"/>
          </w:tcPr>
          <w:p>
            <w:pPr>
              <w:spacing w:after="0"/>
              <w:rPr>
                <w:sz w:val="20"/>
                <w:szCs w:val="20"/>
                <w:color w:val="auto"/>
              </w:rPr>
            </w:pPr>
            <w:r>
              <w:rPr>
                <w:rFonts w:ascii="Arial" w:cs="Arial" w:eastAsia="Arial" w:hAnsi="Arial"/>
                <w:sz w:val="18"/>
                <w:szCs w:val="18"/>
                <w:b w:val="1"/>
                <w:bCs w:val="1"/>
                <w:color w:val="auto"/>
              </w:rPr>
              <w:t>Rank</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Company</w:t>
            </w: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Rank</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Company</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Revenues</w:t>
            </w:r>
          </w:p>
        </w:tc>
      </w:tr>
      <w:tr>
        <w:trPr>
          <w:trHeight w:val="470"/>
        </w:trPr>
        <w:tc>
          <w:tcPr>
            <w:tcW w:w="620" w:type="dxa"/>
            <w:vAlign w:val="bottom"/>
          </w:tcPr>
          <w:p>
            <w:pPr>
              <w:spacing w:after="0"/>
              <w:rPr>
                <w:sz w:val="20"/>
                <w:szCs w:val="20"/>
                <w:color w:val="auto"/>
              </w:rPr>
            </w:pPr>
            <w:r>
              <w:rPr>
                <w:rFonts w:ascii="Arial" w:cs="Arial" w:eastAsia="Arial" w:hAnsi="Arial"/>
                <w:sz w:val="18"/>
                <w:szCs w:val="18"/>
                <w:color w:val="auto"/>
              </w:rPr>
              <w:t>1</w:t>
            </w:r>
          </w:p>
        </w:tc>
        <w:tc>
          <w:tcPr>
            <w:tcW w:w="3380" w:type="dxa"/>
            <w:vAlign w:val="bottom"/>
          </w:tcPr>
          <w:p>
            <w:pPr>
              <w:ind w:left="200"/>
              <w:spacing w:after="0"/>
              <w:rPr>
                <w:sz w:val="20"/>
                <w:szCs w:val="20"/>
                <w:color w:val="auto"/>
              </w:rPr>
            </w:pPr>
            <w:r>
              <w:rPr>
                <w:rFonts w:ascii="Arial" w:cs="Arial" w:eastAsia="Arial" w:hAnsi="Arial"/>
                <w:sz w:val="18"/>
                <w:szCs w:val="18"/>
                <w:color w:val="auto"/>
              </w:rPr>
              <w:t>Marsh &amp; McLennan</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$5,342</w:t>
            </w:r>
          </w:p>
        </w:tc>
        <w:tc>
          <w:tcPr>
            <w:tcW w:w="860" w:type="dxa"/>
            <w:vAlign w:val="bottom"/>
          </w:tcPr>
          <w:p>
            <w:pPr>
              <w:ind w:left="220"/>
              <w:spacing w:after="0"/>
              <w:rPr>
                <w:sz w:val="20"/>
                <w:szCs w:val="20"/>
                <w:color w:val="auto"/>
              </w:rPr>
            </w:pPr>
            <w:r>
              <w:rPr>
                <w:rFonts w:ascii="Arial" w:cs="Arial" w:eastAsia="Arial" w:hAnsi="Arial"/>
                <w:sz w:val="18"/>
                <w:szCs w:val="18"/>
                <w:color w:val="auto"/>
              </w:rPr>
              <w:t>1</w:t>
            </w:r>
          </w:p>
        </w:tc>
        <w:tc>
          <w:tcPr>
            <w:tcW w:w="3380" w:type="dxa"/>
            <w:vAlign w:val="bottom"/>
          </w:tcPr>
          <w:p>
            <w:pPr>
              <w:ind w:left="200"/>
              <w:spacing w:after="0"/>
              <w:rPr>
                <w:sz w:val="20"/>
                <w:szCs w:val="20"/>
                <w:color w:val="auto"/>
              </w:rPr>
            </w:pPr>
            <w:r>
              <w:rPr>
                <w:rFonts w:ascii="Arial" w:cs="Arial" w:eastAsia="Arial" w:hAnsi="Arial"/>
                <w:sz w:val="18"/>
                <w:szCs w:val="18"/>
                <w:color w:val="auto"/>
              </w:rPr>
              <w:t>Marsh &amp; McLennan</w:t>
            </w:r>
          </w:p>
        </w:tc>
        <w:tc>
          <w:tcPr>
            <w:tcW w:w="1120" w:type="dxa"/>
            <w:vAlign w:val="bottom"/>
          </w:tcPr>
          <w:p>
            <w:pPr>
              <w:jc w:val="right"/>
              <w:spacing w:after="0"/>
              <w:rPr>
                <w:sz w:val="20"/>
                <w:szCs w:val="20"/>
                <w:color w:val="auto"/>
              </w:rPr>
            </w:pPr>
            <w:r>
              <w:rPr>
                <w:rFonts w:ascii="Arial" w:cs="Arial" w:eastAsia="Arial" w:hAnsi="Arial"/>
                <w:sz w:val="18"/>
                <w:szCs w:val="18"/>
                <w:color w:val="auto"/>
              </w:rPr>
              <w:t>$11,350</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2</w:t>
            </w:r>
          </w:p>
        </w:tc>
        <w:tc>
          <w:tcPr>
            <w:tcW w:w="3380" w:type="dxa"/>
            <w:vAlign w:val="bottom"/>
          </w:tcPr>
          <w:p>
            <w:pPr>
              <w:ind w:left="200"/>
              <w:spacing w:after="0"/>
              <w:rPr>
                <w:sz w:val="20"/>
                <w:szCs w:val="20"/>
                <w:color w:val="auto"/>
              </w:rPr>
            </w:pPr>
            <w:r>
              <w:rPr>
                <w:rFonts w:ascii="Arial" w:cs="Arial" w:eastAsia="Arial" w:hAnsi="Arial"/>
                <w:sz w:val="18"/>
                <w:szCs w:val="18"/>
                <w:color w:val="auto"/>
              </w:rPr>
              <w:t>Aon</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2,751</w:t>
            </w:r>
          </w:p>
        </w:tc>
        <w:tc>
          <w:tcPr>
            <w:tcW w:w="860" w:type="dxa"/>
            <w:vAlign w:val="bottom"/>
          </w:tcPr>
          <w:p>
            <w:pPr>
              <w:ind w:left="220"/>
              <w:spacing w:after="0"/>
              <w:rPr>
                <w:sz w:val="20"/>
                <w:szCs w:val="20"/>
                <w:color w:val="auto"/>
              </w:rPr>
            </w:pPr>
            <w:r>
              <w:rPr>
                <w:rFonts w:ascii="Arial" w:cs="Arial" w:eastAsia="Arial" w:hAnsi="Arial"/>
                <w:sz w:val="18"/>
                <w:szCs w:val="18"/>
                <w:color w:val="auto"/>
              </w:rPr>
              <w:t>2</w:t>
            </w:r>
          </w:p>
        </w:tc>
        <w:tc>
          <w:tcPr>
            <w:tcW w:w="3380" w:type="dxa"/>
            <w:vAlign w:val="bottom"/>
          </w:tcPr>
          <w:p>
            <w:pPr>
              <w:ind w:left="200"/>
              <w:spacing w:after="0"/>
              <w:rPr>
                <w:sz w:val="20"/>
                <w:szCs w:val="20"/>
                <w:color w:val="auto"/>
              </w:rPr>
            </w:pPr>
            <w:r>
              <w:rPr>
                <w:rFonts w:ascii="Arial" w:cs="Arial" w:eastAsia="Arial" w:hAnsi="Arial"/>
                <w:sz w:val="18"/>
                <w:szCs w:val="18"/>
                <w:color w:val="auto"/>
              </w:rPr>
              <w:t>Aon</w:t>
            </w:r>
          </w:p>
        </w:tc>
        <w:tc>
          <w:tcPr>
            <w:tcW w:w="1120" w:type="dxa"/>
            <w:vAlign w:val="bottom"/>
          </w:tcPr>
          <w:p>
            <w:pPr>
              <w:jc w:val="right"/>
              <w:spacing w:after="0"/>
              <w:rPr>
                <w:sz w:val="20"/>
                <w:szCs w:val="20"/>
                <w:color w:val="auto"/>
              </w:rPr>
            </w:pPr>
            <w:r>
              <w:rPr>
                <w:rFonts w:ascii="Arial" w:cs="Arial" w:eastAsia="Arial" w:hAnsi="Arial"/>
                <w:sz w:val="18"/>
                <w:szCs w:val="18"/>
                <w:color w:val="auto"/>
              </w:rPr>
              <w:t>7,471</w:t>
            </w:r>
          </w:p>
        </w:tc>
      </w:tr>
      <w:tr>
        <w:trPr>
          <w:trHeight w:val="364"/>
        </w:trPr>
        <w:tc>
          <w:tcPr>
            <w:tcW w:w="62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w w:val="98"/>
              </w:rPr>
              <w:t>Pro forma Willis / Hilb Rogal &amp; Hobbs</w:t>
            </w:r>
          </w:p>
        </w:tc>
        <w:tc>
          <w:tcPr>
            <w:tcW w:w="1360" w:type="dxa"/>
            <w:vAlign w:val="bottom"/>
          </w:tcPr>
          <w:p>
            <w:pPr>
              <w:jc w:val="right"/>
              <w:ind w:right="212"/>
              <w:spacing w:after="0"/>
              <w:rPr>
                <w:sz w:val="20"/>
                <w:szCs w:val="20"/>
                <w:color w:val="auto"/>
              </w:rPr>
            </w:pPr>
            <w:r>
              <w:rPr>
                <w:rFonts w:ascii="Arial" w:cs="Arial" w:eastAsia="Arial" w:hAnsi="Arial"/>
                <w:sz w:val="18"/>
                <w:szCs w:val="18"/>
                <w:b w:val="1"/>
                <w:bCs w:val="1"/>
                <w:color w:val="auto"/>
              </w:rPr>
              <w:t>1,783</w:t>
            </w:r>
          </w:p>
        </w:tc>
        <w:tc>
          <w:tcPr>
            <w:tcW w:w="8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w w:val="98"/>
              </w:rPr>
              <w:t>Pro forma Willis / Hilb Rogal &amp; Hobbs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3,378</w:t>
            </w:r>
          </w:p>
        </w:tc>
      </w:tr>
      <w:tr>
        <w:trPr>
          <w:trHeight w:val="376"/>
        </w:trPr>
        <w:tc>
          <w:tcPr>
            <w:tcW w:w="620" w:type="dxa"/>
            <w:vAlign w:val="bottom"/>
          </w:tcPr>
          <w:p>
            <w:pPr>
              <w:spacing w:after="0"/>
              <w:rPr>
                <w:sz w:val="20"/>
                <w:szCs w:val="20"/>
                <w:color w:val="auto"/>
              </w:rPr>
            </w:pPr>
            <w:r>
              <w:rPr>
                <w:rFonts w:ascii="Arial" w:cs="Arial" w:eastAsia="Arial" w:hAnsi="Arial"/>
                <w:sz w:val="18"/>
                <w:szCs w:val="18"/>
                <w:color w:val="auto"/>
              </w:rPr>
              <w:t>3</w:t>
            </w:r>
          </w:p>
        </w:tc>
        <w:tc>
          <w:tcPr>
            <w:tcW w:w="3380" w:type="dxa"/>
            <w:vAlign w:val="bottom"/>
          </w:tcPr>
          <w:p>
            <w:pPr>
              <w:ind w:left="200"/>
              <w:spacing w:after="0"/>
              <w:rPr>
                <w:sz w:val="20"/>
                <w:szCs w:val="20"/>
                <w:color w:val="auto"/>
              </w:rPr>
            </w:pPr>
            <w:r>
              <w:rPr>
                <w:rFonts w:ascii="Arial" w:cs="Arial" w:eastAsia="Arial" w:hAnsi="Arial"/>
                <w:sz w:val="18"/>
                <w:szCs w:val="18"/>
                <w:color w:val="auto"/>
              </w:rPr>
              <w:t>A.J. Gallagher</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1,251</w:t>
            </w:r>
          </w:p>
        </w:tc>
        <w:tc>
          <w:tcPr>
            <w:tcW w:w="860" w:type="dxa"/>
            <w:vAlign w:val="bottom"/>
          </w:tcPr>
          <w:p>
            <w:pPr>
              <w:ind w:left="220"/>
              <w:spacing w:after="0"/>
              <w:rPr>
                <w:sz w:val="20"/>
                <w:szCs w:val="20"/>
                <w:color w:val="auto"/>
              </w:rPr>
            </w:pPr>
            <w:r>
              <w:rPr>
                <w:rFonts w:ascii="Arial" w:cs="Arial" w:eastAsia="Arial" w:hAnsi="Arial"/>
                <w:sz w:val="18"/>
                <w:szCs w:val="18"/>
                <w:color w:val="auto"/>
              </w:rPr>
              <w:t>3</w:t>
            </w:r>
          </w:p>
        </w:tc>
        <w:tc>
          <w:tcPr>
            <w:tcW w:w="3380" w:type="dxa"/>
            <w:vAlign w:val="bottom"/>
          </w:tcPr>
          <w:p>
            <w:pPr>
              <w:ind w:left="200"/>
              <w:spacing w:after="0"/>
              <w:rPr>
                <w:sz w:val="20"/>
                <w:szCs w:val="20"/>
                <w:color w:val="auto"/>
              </w:rPr>
            </w:pPr>
            <w:r>
              <w:rPr>
                <w:rFonts w:ascii="Arial" w:cs="Arial" w:eastAsia="Arial" w:hAnsi="Arial"/>
                <w:sz w:val="18"/>
                <w:szCs w:val="18"/>
                <w:color w:val="auto"/>
              </w:rPr>
              <w:t>Willis Group Holdings Ltd.</w:t>
            </w:r>
          </w:p>
        </w:tc>
        <w:tc>
          <w:tcPr>
            <w:tcW w:w="112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4</w:t>
            </w:r>
          </w:p>
        </w:tc>
        <w:tc>
          <w:tcPr>
            <w:tcW w:w="3380" w:type="dxa"/>
            <w:vAlign w:val="bottom"/>
          </w:tcPr>
          <w:p>
            <w:pPr>
              <w:ind w:left="200"/>
              <w:spacing w:after="0"/>
              <w:rPr>
                <w:sz w:val="20"/>
                <w:szCs w:val="20"/>
                <w:color w:val="auto"/>
              </w:rPr>
            </w:pPr>
            <w:r>
              <w:rPr>
                <w:rFonts w:ascii="Arial" w:cs="Arial" w:eastAsia="Arial" w:hAnsi="Arial"/>
                <w:sz w:val="18"/>
                <w:szCs w:val="18"/>
                <w:color w:val="auto"/>
              </w:rPr>
              <w:t>Willis Group Holdings Ltd.</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1,100</w:t>
            </w:r>
          </w:p>
        </w:tc>
        <w:tc>
          <w:tcPr>
            <w:tcW w:w="860" w:type="dxa"/>
            <w:vAlign w:val="bottom"/>
          </w:tcPr>
          <w:p>
            <w:pPr>
              <w:ind w:left="220"/>
              <w:spacing w:after="0"/>
              <w:rPr>
                <w:sz w:val="20"/>
                <w:szCs w:val="20"/>
                <w:color w:val="auto"/>
              </w:rPr>
            </w:pPr>
            <w:r>
              <w:rPr>
                <w:rFonts w:ascii="Arial" w:cs="Arial" w:eastAsia="Arial" w:hAnsi="Arial"/>
                <w:sz w:val="18"/>
                <w:szCs w:val="18"/>
                <w:color w:val="auto"/>
              </w:rPr>
              <w:t>4</w:t>
            </w:r>
          </w:p>
        </w:tc>
        <w:tc>
          <w:tcPr>
            <w:tcW w:w="3380" w:type="dxa"/>
            <w:vAlign w:val="bottom"/>
          </w:tcPr>
          <w:p>
            <w:pPr>
              <w:ind w:left="200"/>
              <w:spacing w:after="0"/>
              <w:rPr>
                <w:sz w:val="20"/>
                <w:szCs w:val="20"/>
                <w:color w:val="auto"/>
              </w:rPr>
            </w:pPr>
            <w:r>
              <w:rPr>
                <w:rFonts w:ascii="Arial" w:cs="Arial" w:eastAsia="Arial" w:hAnsi="Arial"/>
                <w:sz w:val="18"/>
                <w:szCs w:val="18"/>
                <w:color w:val="auto"/>
              </w:rPr>
              <w:t>A.J. Gallagher</w:t>
            </w:r>
          </w:p>
        </w:tc>
        <w:tc>
          <w:tcPr>
            <w:tcW w:w="112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5</w:t>
            </w:r>
          </w:p>
        </w:tc>
        <w:tc>
          <w:tcPr>
            <w:tcW w:w="3380" w:type="dxa"/>
            <w:vAlign w:val="bottom"/>
          </w:tcPr>
          <w:p>
            <w:pPr>
              <w:ind w:left="200"/>
              <w:spacing w:after="0"/>
              <w:rPr>
                <w:sz w:val="20"/>
                <w:szCs w:val="20"/>
                <w:color w:val="auto"/>
              </w:rPr>
            </w:pPr>
            <w:r>
              <w:rPr>
                <w:rFonts w:ascii="Arial" w:cs="Arial" w:eastAsia="Arial" w:hAnsi="Arial"/>
                <w:sz w:val="18"/>
                <w:szCs w:val="18"/>
                <w:color w:val="auto"/>
              </w:rPr>
              <w:t>Wells Fargo Insurance ServvicesInc.</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1,009</w:t>
            </w:r>
          </w:p>
        </w:tc>
        <w:tc>
          <w:tcPr>
            <w:tcW w:w="860" w:type="dxa"/>
            <w:vAlign w:val="bottom"/>
          </w:tcPr>
          <w:p>
            <w:pPr>
              <w:ind w:left="220"/>
              <w:spacing w:after="0"/>
              <w:rPr>
                <w:sz w:val="20"/>
                <w:szCs w:val="20"/>
                <w:color w:val="auto"/>
              </w:rPr>
            </w:pPr>
            <w:r>
              <w:rPr>
                <w:rFonts w:ascii="Arial" w:cs="Arial" w:eastAsia="Arial" w:hAnsi="Arial"/>
                <w:sz w:val="18"/>
                <w:szCs w:val="18"/>
                <w:color w:val="auto"/>
              </w:rPr>
              <w:t>5</w:t>
            </w:r>
          </w:p>
        </w:tc>
        <w:tc>
          <w:tcPr>
            <w:tcW w:w="3380" w:type="dxa"/>
            <w:vAlign w:val="bottom"/>
          </w:tcPr>
          <w:p>
            <w:pPr>
              <w:ind w:left="200"/>
              <w:spacing w:after="0"/>
              <w:rPr>
                <w:sz w:val="20"/>
                <w:szCs w:val="20"/>
                <w:color w:val="auto"/>
              </w:rPr>
            </w:pPr>
            <w:r>
              <w:rPr>
                <w:rFonts w:ascii="Arial" w:cs="Arial" w:eastAsia="Arial" w:hAnsi="Arial"/>
                <w:sz w:val="18"/>
                <w:szCs w:val="18"/>
                <w:color w:val="auto"/>
              </w:rPr>
              <w:t>Wells Fargo</w:t>
            </w:r>
          </w:p>
        </w:tc>
        <w:tc>
          <w:tcPr>
            <w:tcW w:w="112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376"/>
        </w:trPr>
        <w:tc>
          <w:tcPr>
            <w:tcW w:w="620" w:type="dxa"/>
            <w:vAlign w:val="bottom"/>
          </w:tcPr>
          <w:p>
            <w:pPr>
              <w:spacing w:after="0"/>
              <w:rPr>
                <w:sz w:val="20"/>
                <w:szCs w:val="20"/>
                <w:color w:val="auto"/>
              </w:rPr>
            </w:pPr>
            <w:r>
              <w:rPr>
                <w:rFonts w:ascii="Arial" w:cs="Arial" w:eastAsia="Arial" w:hAnsi="Arial"/>
                <w:sz w:val="18"/>
                <w:szCs w:val="18"/>
                <w:color w:val="auto"/>
              </w:rPr>
              <w:t>6</w:t>
            </w:r>
          </w:p>
        </w:tc>
        <w:tc>
          <w:tcPr>
            <w:tcW w:w="3380" w:type="dxa"/>
            <w:vAlign w:val="bottom"/>
          </w:tcPr>
          <w:p>
            <w:pPr>
              <w:ind w:left="200"/>
              <w:spacing w:after="0"/>
              <w:rPr>
                <w:sz w:val="20"/>
                <w:szCs w:val="20"/>
                <w:color w:val="auto"/>
              </w:rPr>
            </w:pPr>
            <w:r>
              <w:rPr>
                <w:rFonts w:ascii="Arial" w:cs="Arial" w:eastAsia="Arial" w:hAnsi="Arial"/>
                <w:sz w:val="18"/>
                <w:szCs w:val="18"/>
                <w:color w:val="auto"/>
              </w:rPr>
              <w:t>Brown &amp; Brown Inc.</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865</w:t>
            </w:r>
          </w:p>
        </w:tc>
        <w:tc>
          <w:tcPr>
            <w:tcW w:w="860" w:type="dxa"/>
            <w:vAlign w:val="bottom"/>
          </w:tcPr>
          <w:p>
            <w:pPr>
              <w:ind w:left="220"/>
              <w:spacing w:after="0"/>
              <w:rPr>
                <w:sz w:val="20"/>
                <w:szCs w:val="20"/>
                <w:color w:val="auto"/>
              </w:rPr>
            </w:pPr>
            <w:r>
              <w:rPr>
                <w:rFonts w:ascii="Arial" w:cs="Arial" w:eastAsia="Arial" w:hAnsi="Arial"/>
                <w:sz w:val="18"/>
                <w:szCs w:val="18"/>
                <w:color w:val="auto"/>
              </w:rPr>
              <w:t>6</w:t>
            </w:r>
          </w:p>
        </w:tc>
        <w:tc>
          <w:tcPr>
            <w:tcW w:w="3380" w:type="dxa"/>
            <w:vAlign w:val="bottom"/>
          </w:tcPr>
          <w:p>
            <w:pPr>
              <w:ind w:left="200"/>
              <w:spacing w:after="0"/>
              <w:rPr>
                <w:sz w:val="20"/>
                <w:szCs w:val="20"/>
                <w:color w:val="auto"/>
              </w:rPr>
            </w:pPr>
            <w:r>
              <w:rPr>
                <w:rFonts w:ascii="Arial" w:cs="Arial" w:eastAsia="Arial" w:hAnsi="Arial"/>
                <w:sz w:val="18"/>
                <w:szCs w:val="18"/>
                <w:color w:val="auto"/>
              </w:rPr>
              <w:t>Brown &amp; Brown</w:t>
            </w:r>
          </w:p>
        </w:tc>
        <w:tc>
          <w:tcPr>
            <w:tcW w:w="112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7</w:t>
            </w:r>
          </w:p>
        </w:tc>
        <w:tc>
          <w:tcPr>
            <w:tcW w:w="3380" w:type="dxa"/>
            <w:vAlign w:val="bottom"/>
          </w:tcPr>
          <w:p>
            <w:pPr>
              <w:ind w:left="200"/>
              <w:spacing w:after="0"/>
              <w:rPr>
                <w:sz w:val="20"/>
                <w:szCs w:val="20"/>
                <w:color w:val="auto"/>
              </w:rPr>
            </w:pPr>
            <w:r>
              <w:rPr>
                <w:rFonts w:ascii="Arial" w:cs="Arial" w:eastAsia="Arial" w:hAnsi="Arial"/>
                <w:sz w:val="18"/>
                <w:szCs w:val="18"/>
                <w:color w:val="auto"/>
              </w:rPr>
              <w:t>BB&amp;T Insurance Services Inc.</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842</w:t>
            </w:r>
          </w:p>
        </w:tc>
        <w:tc>
          <w:tcPr>
            <w:tcW w:w="860" w:type="dxa"/>
            <w:vAlign w:val="bottom"/>
          </w:tcPr>
          <w:p>
            <w:pPr>
              <w:ind w:left="220"/>
              <w:spacing w:after="0"/>
              <w:rPr>
                <w:sz w:val="20"/>
                <w:szCs w:val="20"/>
                <w:color w:val="auto"/>
              </w:rPr>
            </w:pPr>
            <w:r>
              <w:rPr>
                <w:rFonts w:ascii="Arial" w:cs="Arial" w:eastAsia="Arial" w:hAnsi="Arial"/>
                <w:sz w:val="18"/>
                <w:szCs w:val="18"/>
                <w:color w:val="auto"/>
              </w:rPr>
              <w:t>7</w:t>
            </w:r>
          </w:p>
        </w:tc>
        <w:tc>
          <w:tcPr>
            <w:tcW w:w="3380" w:type="dxa"/>
            <w:vAlign w:val="bottom"/>
          </w:tcPr>
          <w:p>
            <w:pPr>
              <w:ind w:left="200"/>
              <w:spacing w:after="0"/>
              <w:rPr>
                <w:sz w:val="20"/>
                <w:szCs w:val="20"/>
                <w:color w:val="auto"/>
              </w:rPr>
            </w:pPr>
            <w:r>
              <w:rPr>
                <w:rFonts w:ascii="Arial" w:cs="Arial" w:eastAsia="Arial" w:hAnsi="Arial"/>
                <w:sz w:val="18"/>
                <w:szCs w:val="18"/>
                <w:color w:val="auto"/>
              </w:rPr>
              <w:t>JardineLloyd Thompson</w:t>
            </w:r>
          </w:p>
        </w:tc>
        <w:tc>
          <w:tcPr>
            <w:tcW w:w="112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8</w:t>
            </w:r>
          </w:p>
        </w:tc>
        <w:tc>
          <w:tcPr>
            <w:tcW w:w="3380" w:type="dxa"/>
            <w:vAlign w:val="bottom"/>
          </w:tcPr>
          <w:p>
            <w:pPr>
              <w:ind w:left="200"/>
              <w:spacing w:after="0"/>
              <w:rPr>
                <w:sz w:val="20"/>
                <w:szCs w:val="20"/>
                <w:color w:val="auto"/>
              </w:rPr>
            </w:pPr>
            <w:r>
              <w:rPr>
                <w:rFonts w:ascii="Arial" w:cs="Arial" w:eastAsia="Arial" w:hAnsi="Arial"/>
                <w:sz w:val="18"/>
                <w:szCs w:val="18"/>
                <w:color w:val="auto"/>
              </w:rPr>
              <w:t>Hilb Rogal &amp; Hobbs Co.</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683</w:t>
            </w:r>
          </w:p>
        </w:tc>
        <w:tc>
          <w:tcPr>
            <w:tcW w:w="860" w:type="dxa"/>
            <w:vAlign w:val="bottom"/>
          </w:tcPr>
          <w:p>
            <w:pPr>
              <w:ind w:left="220"/>
              <w:spacing w:after="0"/>
              <w:rPr>
                <w:sz w:val="20"/>
                <w:szCs w:val="20"/>
                <w:color w:val="auto"/>
              </w:rPr>
            </w:pPr>
            <w:r>
              <w:rPr>
                <w:rFonts w:ascii="Arial" w:cs="Arial" w:eastAsia="Arial" w:hAnsi="Arial"/>
                <w:sz w:val="18"/>
                <w:szCs w:val="18"/>
                <w:color w:val="auto"/>
              </w:rPr>
              <w:t>8</w:t>
            </w:r>
          </w:p>
        </w:tc>
        <w:tc>
          <w:tcPr>
            <w:tcW w:w="3380" w:type="dxa"/>
            <w:vAlign w:val="bottom"/>
          </w:tcPr>
          <w:p>
            <w:pPr>
              <w:ind w:left="200"/>
              <w:spacing w:after="0"/>
              <w:rPr>
                <w:sz w:val="20"/>
                <w:szCs w:val="20"/>
                <w:color w:val="auto"/>
              </w:rPr>
            </w:pPr>
            <w:r>
              <w:rPr>
                <w:rFonts w:ascii="Arial" w:cs="Arial" w:eastAsia="Arial" w:hAnsi="Arial"/>
                <w:sz w:val="18"/>
                <w:szCs w:val="18"/>
                <w:color w:val="auto"/>
              </w:rPr>
              <w:t>BB&amp;T Insurance Services Inc.</w:t>
            </w:r>
          </w:p>
        </w:tc>
        <w:tc>
          <w:tcPr>
            <w:tcW w:w="11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9</w:t>
            </w:r>
          </w:p>
        </w:tc>
        <w:tc>
          <w:tcPr>
            <w:tcW w:w="3380" w:type="dxa"/>
            <w:vAlign w:val="bottom"/>
          </w:tcPr>
          <w:p>
            <w:pPr>
              <w:ind w:left="200"/>
              <w:spacing w:after="0"/>
              <w:rPr>
                <w:sz w:val="20"/>
                <w:szCs w:val="20"/>
                <w:color w:val="auto"/>
              </w:rPr>
            </w:pPr>
            <w:r>
              <w:rPr>
                <w:rFonts w:ascii="Arial" w:cs="Arial" w:eastAsia="Arial" w:hAnsi="Arial"/>
                <w:sz w:val="18"/>
                <w:szCs w:val="18"/>
                <w:color w:val="auto"/>
              </w:rPr>
              <w:t>USI Holdings Crop.</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546</w:t>
            </w:r>
          </w:p>
        </w:tc>
        <w:tc>
          <w:tcPr>
            <w:tcW w:w="860" w:type="dxa"/>
            <w:vAlign w:val="bottom"/>
          </w:tcPr>
          <w:p>
            <w:pPr>
              <w:ind w:left="220"/>
              <w:spacing w:after="0"/>
              <w:rPr>
                <w:sz w:val="20"/>
                <w:szCs w:val="20"/>
                <w:color w:val="auto"/>
              </w:rPr>
            </w:pPr>
            <w:r>
              <w:rPr>
                <w:rFonts w:ascii="Arial" w:cs="Arial" w:eastAsia="Arial" w:hAnsi="Arial"/>
                <w:sz w:val="18"/>
                <w:szCs w:val="18"/>
                <w:color w:val="auto"/>
              </w:rPr>
              <w:t>9</w:t>
            </w:r>
          </w:p>
        </w:tc>
        <w:tc>
          <w:tcPr>
            <w:tcW w:w="3380" w:type="dxa"/>
            <w:vAlign w:val="bottom"/>
          </w:tcPr>
          <w:p>
            <w:pPr>
              <w:ind w:left="200"/>
              <w:spacing w:after="0"/>
              <w:rPr>
                <w:sz w:val="20"/>
                <w:szCs w:val="20"/>
                <w:color w:val="auto"/>
              </w:rPr>
            </w:pPr>
            <w:r>
              <w:rPr>
                <w:rFonts w:ascii="Arial" w:cs="Arial" w:eastAsia="Arial" w:hAnsi="Arial"/>
                <w:sz w:val="18"/>
                <w:szCs w:val="18"/>
                <w:color w:val="auto"/>
              </w:rPr>
              <w:t>Hilb Rogal &amp; Hobbs Co.</w:t>
            </w:r>
          </w:p>
        </w:tc>
        <w:tc>
          <w:tcPr>
            <w:tcW w:w="11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376"/>
        </w:trPr>
        <w:tc>
          <w:tcPr>
            <w:tcW w:w="620" w:type="dxa"/>
            <w:vAlign w:val="bottom"/>
          </w:tcPr>
          <w:p>
            <w:pPr>
              <w:spacing w:after="0"/>
              <w:rPr>
                <w:sz w:val="20"/>
                <w:szCs w:val="20"/>
                <w:color w:val="auto"/>
              </w:rPr>
            </w:pPr>
            <w:r>
              <w:rPr>
                <w:rFonts w:ascii="Arial" w:cs="Arial" w:eastAsia="Arial" w:hAnsi="Arial"/>
                <w:sz w:val="18"/>
                <w:szCs w:val="18"/>
                <w:color w:val="auto"/>
              </w:rPr>
              <w:t>10</w:t>
            </w:r>
          </w:p>
        </w:tc>
        <w:tc>
          <w:tcPr>
            <w:tcW w:w="3380" w:type="dxa"/>
            <w:vAlign w:val="bottom"/>
          </w:tcPr>
          <w:p>
            <w:pPr>
              <w:ind w:left="200"/>
              <w:spacing w:after="0"/>
              <w:rPr>
                <w:sz w:val="20"/>
                <w:szCs w:val="20"/>
                <w:color w:val="auto"/>
              </w:rPr>
            </w:pPr>
            <w:r>
              <w:rPr>
                <w:rFonts w:ascii="Arial" w:cs="Arial" w:eastAsia="Arial" w:hAnsi="Arial"/>
                <w:sz w:val="18"/>
                <w:szCs w:val="18"/>
                <w:color w:val="auto"/>
              </w:rPr>
              <w:t>Lockton Cos. L.L.C.</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453</w:t>
            </w:r>
          </w:p>
        </w:tc>
        <w:tc>
          <w:tcPr>
            <w:tcW w:w="860" w:type="dxa"/>
            <w:vAlign w:val="bottom"/>
          </w:tcPr>
          <w:p>
            <w:pPr>
              <w:ind w:left="220"/>
              <w:spacing w:after="0"/>
              <w:rPr>
                <w:sz w:val="20"/>
                <w:szCs w:val="20"/>
                <w:color w:val="auto"/>
              </w:rPr>
            </w:pPr>
            <w:r>
              <w:rPr>
                <w:rFonts w:ascii="Arial" w:cs="Arial" w:eastAsia="Arial" w:hAnsi="Arial"/>
                <w:sz w:val="18"/>
                <w:szCs w:val="18"/>
                <w:color w:val="auto"/>
              </w:rPr>
              <w:t>10</w:t>
            </w:r>
          </w:p>
        </w:tc>
        <w:tc>
          <w:tcPr>
            <w:tcW w:w="3380" w:type="dxa"/>
            <w:vAlign w:val="bottom"/>
          </w:tcPr>
          <w:p>
            <w:pPr>
              <w:ind w:left="200"/>
              <w:spacing w:after="0"/>
              <w:rPr>
                <w:sz w:val="20"/>
                <w:szCs w:val="20"/>
                <w:color w:val="auto"/>
              </w:rPr>
            </w:pPr>
            <w:r>
              <w:rPr>
                <w:rFonts w:ascii="Arial" w:cs="Arial" w:eastAsia="Arial" w:hAnsi="Arial"/>
                <w:sz w:val="18"/>
                <w:szCs w:val="18"/>
                <w:color w:val="auto"/>
              </w:rPr>
              <w:t>Lockton Cos. L.L.C.</w:t>
            </w:r>
          </w:p>
        </w:tc>
        <w:tc>
          <w:tcPr>
            <w:tcW w:w="1120" w:type="dxa"/>
            <w:vAlign w:val="bottom"/>
          </w:tcPr>
          <w:p>
            <w:pPr>
              <w:jc w:val="right"/>
              <w:spacing w:after="0"/>
              <w:rPr>
                <w:sz w:val="20"/>
                <w:szCs w:val="20"/>
                <w:color w:val="auto"/>
              </w:rPr>
            </w:pPr>
            <w:r>
              <w:rPr>
                <w:rFonts w:ascii="Arial" w:cs="Arial" w:eastAsia="Arial" w:hAnsi="Arial"/>
                <w:sz w:val="18"/>
                <w:szCs w:val="18"/>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-2896235</wp:posOffset>
            </wp:positionV>
            <wp:extent cx="7055485" cy="422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5485" cy="422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300" w:type="dxa"/>
            <w:vAlign w:val="bottom"/>
          </w:tcPr>
          <w:p>
            <w:pPr>
              <w:spacing w:after="0"/>
              <w:rPr>
                <w:sz w:val="20"/>
                <w:szCs w:val="20"/>
                <w:color w:val="auto"/>
              </w:rPr>
            </w:pPr>
            <w:r>
              <w:rPr>
                <w:rFonts w:ascii="Arial" w:cs="Arial" w:eastAsia="Arial" w:hAnsi="Arial"/>
                <w:sz w:val="15"/>
                <w:szCs w:val="15"/>
                <w:color w:val="132647"/>
              </w:rPr>
              <w:t xml:space="preserve">Source: </w:t>
            </w:r>
            <w:r>
              <w:rPr>
                <w:rFonts w:ascii="Arial" w:cs="Arial" w:eastAsia="Arial" w:hAnsi="Arial"/>
                <w:sz w:val="15"/>
                <w:szCs w:val="15"/>
                <w:i w:val="1"/>
                <w:iCs w:val="1"/>
                <w:color w:val="132647"/>
              </w:rPr>
              <w:t>Business Insurance</w:t>
            </w:r>
            <w:r>
              <w:rPr>
                <w:rFonts w:ascii="Arial" w:cs="Arial" w:eastAsia="Arial" w:hAnsi="Arial"/>
                <w:sz w:val="15"/>
                <w:szCs w:val="15"/>
                <w:color w:val="132647"/>
              </w:rPr>
              <w:t xml:space="preserve"> Annual Insurance Broker Survey, July 2007,</w:t>
            </w:r>
          </w:p>
        </w:tc>
        <w:tc>
          <w:tcPr>
            <w:tcW w:w="2120" w:type="dxa"/>
            <w:vAlign w:val="bottom"/>
          </w:tcPr>
          <w:p>
            <w:pPr>
              <w:ind w:left="380"/>
              <w:spacing w:after="0"/>
              <w:rPr>
                <w:sz w:val="20"/>
                <w:szCs w:val="20"/>
                <w:color w:val="auto"/>
              </w:rPr>
            </w:pPr>
            <w:r>
              <w:rPr>
                <w:rFonts w:ascii="Arial" w:cs="Arial" w:eastAsia="Arial" w:hAnsi="Arial"/>
                <w:sz w:val="15"/>
                <w:szCs w:val="15"/>
                <w:color w:val="132647"/>
              </w:rPr>
              <w:t>Source: Company reports</w:t>
            </w:r>
          </w:p>
        </w:tc>
      </w:tr>
      <w:tr>
        <w:trPr>
          <w:trHeight w:val="188"/>
        </w:trPr>
        <w:tc>
          <w:tcPr>
            <w:tcW w:w="5300" w:type="dxa"/>
            <w:vAlign w:val="bottom"/>
          </w:tcPr>
          <w:p>
            <w:pPr>
              <w:spacing w:after="0"/>
              <w:rPr>
                <w:sz w:val="20"/>
                <w:szCs w:val="20"/>
                <w:color w:val="auto"/>
              </w:rPr>
            </w:pPr>
            <w:r>
              <w:rPr>
                <w:rFonts w:ascii="Arial" w:cs="Arial" w:eastAsia="Arial" w:hAnsi="Arial"/>
                <w:sz w:val="15"/>
                <w:szCs w:val="15"/>
                <w:color w:val="132647"/>
              </w:rPr>
              <w:t>Revenues generated by U.S. clients</w:t>
            </w:r>
          </w:p>
        </w:tc>
        <w:tc>
          <w:tcPr>
            <w:tcW w:w="2120" w:type="dxa"/>
            <w:vAlign w:val="bottom"/>
          </w:tcPr>
          <w:p>
            <w:pPr>
              <w:spacing w:after="0"/>
              <w:rPr>
                <w:sz w:val="16"/>
                <w:szCs w:val="16"/>
                <w:color w:val="auto"/>
              </w:rPr>
            </w:pPr>
          </w:p>
        </w:tc>
      </w:tr>
    </w:tbl>
    <w:p>
      <w:pPr>
        <w:spacing w:after="0" w:line="200" w:lineRule="exact"/>
        <w:rPr>
          <w:sz w:val="20"/>
          <w:szCs w:val="20"/>
          <w:color w:val="auto"/>
        </w:rPr>
      </w:pPr>
    </w:p>
    <w:p>
      <w:pPr>
        <w:spacing w:after="0" w:line="327" w:lineRule="exact"/>
        <w:rPr>
          <w:sz w:val="20"/>
          <w:szCs w:val="20"/>
          <w:color w:val="auto"/>
        </w:rPr>
      </w:pPr>
    </w:p>
    <w:p>
      <w:pPr>
        <w:ind w:left="10140"/>
        <w:spacing w:after="0"/>
        <w:rPr>
          <w:sz w:val="20"/>
          <w:szCs w:val="20"/>
          <w:color w:val="auto"/>
        </w:rPr>
      </w:pPr>
      <w:r>
        <w:rPr>
          <w:rFonts w:ascii="Arial" w:cs="Arial" w:eastAsia="Arial" w:hAnsi="Arial"/>
          <w:sz w:val="22"/>
          <w:szCs w:val="22"/>
          <w:color w:val="132647"/>
        </w:rPr>
        <w:t>13</w:t>
      </w:r>
    </w:p>
    <w:p>
      <w:pPr>
        <w:sectPr>
          <w:pgSz w:w="11900" w:h="16838" w:orient="portrait"/>
          <w:cols w:equalWidth="0" w:num="1">
            <w:col w:w="10780"/>
          </w:cols>
          <w:pgMar w:left="660" w:top="162" w:right="459" w:bottom="1440" w:gutter="0" w:footer="0" w:header="0"/>
        </w:sectPr>
      </w:pPr>
    </w:p>
    <w:bookmarkStart w:id="26" w:name="page27"/>
    <w:bookmarkEnd w:id="26"/>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Complementary geographic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521970</wp:posOffset>
            </wp:positionV>
            <wp:extent cx="6854190" cy="4385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4190" cy="438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132647"/>
        </w:rPr>
        <w:t>International Presence</w:t>
      </w:r>
    </w:p>
    <w:p>
      <w:pPr>
        <w:sectPr>
          <w:pgSz w:w="11900" w:h="16838" w:orient="portrait"/>
          <w:cols w:equalWidth="0" w:num="1">
            <w:col w:w="10600"/>
          </w:cols>
          <w:pgMar w:left="660" w:top="174" w:right="639" w:bottom="1440" w:gutter="0" w:footer="0" w:header="0"/>
        </w:sect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23"/>
          <w:szCs w:val="23"/>
          <w:b w:val="1"/>
          <w:bCs w:val="1"/>
          <w:color w:val="132647"/>
        </w:rPr>
        <w:t>Key</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23"/>
          <w:szCs w:val="23"/>
          <w:b w:val="1"/>
          <w:bCs w:val="1"/>
          <w:color w:val="132647"/>
        </w:rPr>
        <w:t>Growth</w:t>
      </w:r>
    </w:p>
    <w:p>
      <w:pPr>
        <w:ind w:left="360"/>
        <w:spacing w:after="0"/>
        <w:rPr>
          <w:sz w:val="20"/>
          <w:szCs w:val="20"/>
          <w:color w:val="auto"/>
        </w:rPr>
      </w:pPr>
      <w:r>
        <w:rPr>
          <w:rFonts w:ascii="Arial" w:cs="Arial" w:eastAsia="Arial" w:hAnsi="Arial"/>
          <w:sz w:val="23"/>
          <w:szCs w:val="23"/>
          <w:b w:val="1"/>
          <w:bCs w:val="1"/>
          <w:color w:val="132647"/>
        </w:rPr>
        <w:t>Areas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132647"/>
        </w:rPr>
        <w:t>London, England</w:t>
      </w:r>
    </w:p>
    <w:p>
      <w:pPr>
        <w:spacing w:after="0" w:line="934" w:lineRule="exact"/>
        <w:rPr>
          <w:sz w:val="20"/>
          <w:szCs w:val="20"/>
          <w:color w:val="auto"/>
        </w:rPr>
      </w:pPr>
    </w:p>
    <w:p>
      <w:pPr>
        <w:sectPr>
          <w:pgSz w:w="11900" w:h="16838" w:orient="portrait"/>
          <w:cols w:equalWidth="0" w:num="2">
            <w:col w:w="8220" w:space="720"/>
            <w:col w:w="1660"/>
          </w:cols>
          <w:pgMar w:left="660" w:top="174" w:right="639" w:bottom="1440" w:gutter="0" w:footer="0" w:header="0"/>
          <w:type w:val="continuous"/>
        </w:sectPr>
      </w:pP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132647"/>
        </w:rPr>
        <w:t># of Offices</w:t>
      </w:r>
    </w:p>
    <w:p>
      <w:pPr>
        <w:spacing w:after="0" w:line="22" w:lineRule="exact"/>
        <w:rPr>
          <w:sz w:val="20"/>
          <w:szCs w:val="20"/>
          <w:color w:val="auto"/>
        </w:rPr>
      </w:pPr>
    </w:p>
    <w:tbl>
      <w:tblPr>
        <w:tblLayout w:type="fixed"/>
        <w:tblInd w:w="5920" w:type="dxa"/>
        <w:tblCellMar>
          <w:top w:w="0" w:type="dxa"/>
          <w:left w:w="0" w:type="dxa"/>
          <w:bottom w:w="0" w:type="dxa"/>
          <w:right w:w="0" w:type="dxa"/>
        </w:tblCellMar>
      </w:tblPr>
      <w:tr>
        <w:trPr>
          <w:trHeight w:val="171"/>
        </w:trPr>
        <w:tc>
          <w:tcPr>
            <w:tcW w:w="760" w:type="dxa"/>
            <w:vAlign w:val="bottom"/>
            <w:vMerge w:val="restart"/>
          </w:tcPr>
          <w:p>
            <w:pPr>
              <w:spacing w:after="0"/>
              <w:rPr>
                <w:sz w:val="20"/>
                <w:szCs w:val="20"/>
                <w:color w:val="auto"/>
              </w:rPr>
            </w:pPr>
            <w:r>
              <w:rPr>
                <w:rFonts w:ascii="Arial" w:cs="Arial" w:eastAsia="Arial" w:hAnsi="Arial"/>
                <w:sz w:val="15"/>
                <w:szCs w:val="15"/>
                <w:color w:val="132647"/>
              </w:rPr>
              <w:t>Willis</w:t>
            </w:r>
          </w:p>
        </w:tc>
        <w:tc>
          <w:tcPr>
            <w:tcW w:w="2040" w:type="dxa"/>
            <w:vAlign w:val="bottom"/>
            <w:vMerge w:val="restart"/>
          </w:tcPr>
          <w:p>
            <w:pPr>
              <w:jc w:val="right"/>
              <w:ind w:right="1324"/>
              <w:spacing w:after="0"/>
              <w:rPr>
                <w:sz w:val="20"/>
                <w:szCs w:val="20"/>
                <w:color w:val="auto"/>
              </w:rPr>
            </w:pPr>
            <w:r>
              <w:rPr>
                <w:rFonts w:ascii="Arial" w:cs="Arial" w:eastAsia="Arial" w:hAnsi="Arial"/>
                <w:sz w:val="15"/>
                <w:szCs w:val="15"/>
                <w:color w:val="132647"/>
              </w:rPr>
              <w:t>70</w:t>
            </w:r>
          </w:p>
        </w:tc>
        <w:tc>
          <w:tcPr>
            <w:tcW w:w="1880" w:type="dxa"/>
            <w:vAlign w:val="bottom"/>
          </w:tcPr>
          <w:p>
            <w:pPr>
              <w:ind w:left="1380"/>
              <w:spacing w:after="0"/>
              <w:rPr>
                <w:sz w:val="20"/>
                <w:szCs w:val="20"/>
                <w:color w:val="auto"/>
              </w:rPr>
            </w:pPr>
            <w:r>
              <w:rPr>
                <w:rFonts w:ascii="Arial" w:cs="Arial" w:eastAsia="Arial" w:hAnsi="Arial"/>
                <w:sz w:val="13"/>
                <w:szCs w:val="13"/>
                <w:b w:val="1"/>
                <w:bCs w:val="1"/>
                <w:color w:val="132647"/>
              </w:rPr>
              <w:t>HRH</w:t>
            </w:r>
          </w:p>
        </w:tc>
        <w:tc>
          <w:tcPr>
            <w:tcW w:w="0" w:type="dxa"/>
            <w:vAlign w:val="bottom"/>
          </w:tcPr>
          <w:p>
            <w:pPr>
              <w:spacing w:after="0"/>
              <w:rPr>
                <w:sz w:val="1"/>
                <w:szCs w:val="1"/>
                <w:color w:val="auto"/>
              </w:rPr>
            </w:pPr>
          </w:p>
        </w:tc>
      </w:tr>
      <w:tr>
        <w:trPr>
          <w:trHeight w:val="98"/>
        </w:trPr>
        <w:tc>
          <w:tcPr>
            <w:tcW w:w="76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1880" w:type="dxa"/>
            <w:vAlign w:val="bottom"/>
            <w:vMerge w:val="restart"/>
          </w:tcPr>
          <w:p>
            <w:pPr>
              <w:ind w:left="1380"/>
              <w:spacing w:after="0"/>
              <w:rPr>
                <w:sz w:val="20"/>
                <w:szCs w:val="20"/>
                <w:color w:val="auto"/>
              </w:rPr>
            </w:pPr>
            <w:r>
              <w:rPr>
                <w:rFonts w:ascii="Arial" w:cs="Arial" w:eastAsia="Arial" w:hAnsi="Arial"/>
                <w:sz w:val="13"/>
                <w:szCs w:val="13"/>
                <w:b w:val="1"/>
                <w:bCs w:val="1"/>
                <w:color w:val="132647"/>
              </w:rPr>
              <w:t>WSH</w:t>
            </w:r>
          </w:p>
        </w:tc>
        <w:tc>
          <w:tcPr>
            <w:tcW w:w="0" w:type="dxa"/>
            <w:vAlign w:val="bottom"/>
          </w:tcPr>
          <w:p>
            <w:pPr>
              <w:spacing w:after="0"/>
              <w:rPr>
                <w:sz w:val="1"/>
                <w:szCs w:val="1"/>
                <w:color w:val="auto"/>
              </w:rPr>
            </w:pPr>
          </w:p>
        </w:tc>
      </w:tr>
      <w:tr>
        <w:trPr>
          <w:trHeight w:val="121"/>
        </w:trPr>
        <w:tc>
          <w:tcPr>
            <w:tcW w:w="760" w:type="dxa"/>
            <w:vAlign w:val="bottom"/>
            <w:vMerge w:val="restart"/>
          </w:tcPr>
          <w:p>
            <w:pPr>
              <w:spacing w:after="0"/>
              <w:rPr>
                <w:sz w:val="20"/>
                <w:szCs w:val="20"/>
                <w:color w:val="auto"/>
              </w:rPr>
            </w:pPr>
            <w:r>
              <w:rPr>
                <w:rFonts w:ascii="Arial" w:cs="Arial" w:eastAsia="Arial" w:hAnsi="Arial"/>
                <w:sz w:val="15"/>
                <w:szCs w:val="15"/>
                <w:color w:val="132647"/>
              </w:rPr>
              <w:t>HRH</w:t>
            </w:r>
          </w:p>
        </w:tc>
        <w:tc>
          <w:tcPr>
            <w:tcW w:w="2040" w:type="dxa"/>
            <w:vAlign w:val="bottom"/>
            <w:vMerge w:val="restart"/>
          </w:tcPr>
          <w:p>
            <w:pPr>
              <w:jc w:val="right"/>
              <w:ind w:right="1324"/>
              <w:spacing w:after="0"/>
              <w:rPr>
                <w:sz w:val="20"/>
                <w:szCs w:val="20"/>
                <w:color w:val="auto"/>
              </w:rPr>
            </w:pPr>
            <w:r>
              <w:rPr>
                <w:rFonts w:ascii="Arial" w:cs="Arial" w:eastAsia="Arial" w:hAnsi="Arial"/>
                <w:sz w:val="15"/>
                <w:szCs w:val="15"/>
                <w:color w:val="132647"/>
              </w:rPr>
              <w:t>140</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1880" w:type="dxa"/>
            <w:vAlign w:val="bottom"/>
            <w:vMerge w:val="restart"/>
          </w:tcPr>
          <w:p>
            <w:pPr>
              <w:ind w:left="1380"/>
              <w:spacing w:after="0"/>
              <w:rPr>
                <w:sz w:val="20"/>
                <w:szCs w:val="20"/>
                <w:color w:val="auto"/>
              </w:rPr>
            </w:pPr>
            <w:r>
              <w:rPr>
                <w:rFonts w:ascii="Arial" w:cs="Arial" w:eastAsia="Arial" w:hAnsi="Arial"/>
                <w:sz w:val="13"/>
                <w:szCs w:val="13"/>
                <w:b w:val="1"/>
                <w:bCs w:val="1"/>
                <w:color w:val="132647"/>
                <w:w w:val="99"/>
              </w:rPr>
              <w:t>Overlap</w:t>
            </w:r>
          </w:p>
        </w:tc>
        <w:tc>
          <w:tcPr>
            <w:tcW w:w="0" w:type="dxa"/>
            <w:vAlign w:val="bottom"/>
          </w:tcPr>
          <w:p>
            <w:pPr>
              <w:spacing w:after="0"/>
              <w:rPr>
                <w:sz w:val="1"/>
                <w:szCs w:val="1"/>
                <w:color w:val="auto"/>
              </w:rPr>
            </w:pPr>
          </w:p>
        </w:tc>
      </w:tr>
      <w:tr>
        <w:trPr>
          <w:trHeight w:val="74"/>
        </w:trPr>
        <w:tc>
          <w:tcPr>
            <w:tcW w:w="7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7"/>
        </w:trPr>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80" w:type="dxa"/>
            <w:vAlign w:val="bottom"/>
          </w:tcPr>
          <w:p>
            <w:pPr>
              <w:ind w:left="1420"/>
              <w:spacing w:after="0"/>
              <w:rPr>
                <w:sz w:val="20"/>
                <w:szCs w:val="20"/>
                <w:color w:val="auto"/>
              </w:rPr>
            </w:pPr>
            <w:r>
              <w:rPr>
                <w:rFonts w:ascii="Arial" w:cs="Arial" w:eastAsia="Arial" w:hAnsi="Arial"/>
                <w:sz w:val="22"/>
                <w:szCs w:val="22"/>
                <w:color w:val="132647"/>
              </w:rPr>
              <w:t>14</w:t>
            </w:r>
          </w:p>
        </w:tc>
        <w:tc>
          <w:tcPr>
            <w:tcW w:w="0" w:type="dxa"/>
            <w:vAlign w:val="bottom"/>
          </w:tcPr>
          <w:p>
            <w:pPr>
              <w:spacing w:after="0"/>
              <w:rPr>
                <w:sz w:val="1"/>
                <w:szCs w:val="1"/>
                <w:color w:val="auto"/>
              </w:rPr>
            </w:pPr>
          </w:p>
        </w:tc>
      </w:tr>
    </w:tbl>
    <w:p>
      <w:pPr>
        <w:sectPr>
          <w:pgSz w:w="11900" w:h="16838" w:orient="portrait"/>
          <w:cols w:equalWidth="0" w:num="1">
            <w:col w:w="10600"/>
          </w:cols>
          <w:pgMar w:left="660" w:top="174" w:right="639" w:bottom="1440" w:gutter="0" w:footer="0" w:header="0"/>
          <w:type w:val="continuous"/>
        </w:sectPr>
      </w:pPr>
    </w:p>
    <w:bookmarkStart w:id="27" w:name="page28"/>
    <w:bookmarkEnd w:id="27"/>
    <w:p>
      <w:pPr>
        <w:ind w:right="2720"/>
        <w:spacing w:after="0" w:line="273" w:lineRule="auto"/>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Pro forma combined total revenues by business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62230</wp:posOffset>
            </wp:positionV>
            <wp:extent cx="6809740" cy="4490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9740" cy="4490085"/>
                    </a:xfrm>
                    <a:prstGeom prst="rect">
                      <a:avLst/>
                    </a:prstGeom>
                    <a:noFill/>
                  </pic:spPr>
                </pic:pic>
              </a:graphicData>
            </a:graphic>
          </wp:anchor>
        </w:drawing>
      </w:r>
    </w:p>
    <w:p>
      <w:pPr>
        <w:sectPr>
          <w:pgSz w:w="11900" w:h="16838" w:orient="portrait"/>
          <w:cols w:equalWidth="0" w:num="1">
            <w:col w:w="10640"/>
          </w:cols>
          <w:pgMar w:left="660" w:top="174" w:right="599" w:bottom="1440" w:gutter="0" w:footer="0" w:header="0"/>
        </w:sectPr>
      </w:pPr>
    </w:p>
    <w:p>
      <w:pPr>
        <w:spacing w:after="0" w:line="138"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132647"/>
        </w:rPr>
        <w:t>WILLIS</w:t>
      </w:r>
    </w:p>
    <w:p>
      <w:pPr>
        <w:spacing w:after="0" w:line="200" w:lineRule="exact"/>
        <w:rPr>
          <w:sz w:val="20"/>
          <w:szCs w:val="20"/>
          <w:color w:val="auto"/>
        </w:rPr>
      </w:pPr>
    </w:p>
    <w:p>
      <w:pPr>
        <w:spacing w:after="0" w:line="302"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42516C"/>
        </w:rPr>
        <w:t>WillisRe</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42516C"/>
        </w:rPr>
        <w:t>15%</w:t>
      </w:r>
    </w:p>
    <w:p>
      <w:pPr>
        <w:spacing w:after="0" w:line="126" w:lineRule="exact"/>
        <w:rPr>
          <w:sz w:val="20"/>
          <w:szCs w:val="20"/>
          <w:color w:val="auto"/>
        </w:rPr>
      </w:pPr>
    </w:p>
    <w:tbl>
      <w:tblPr>
        <w:tblLayout w:type="fixed"/>
        <w:tblInd w:w="1080" w:type="dxa"/>
        <w:tblCellMar>
          <w:top w:w="0" w:type="dxa"/>
          <w:left w:w="0" w:type="dxa"/>
          <w:bottom w:w="0" w:type="dxa"/>
          <w:right w:w="0" w:type="dxa"/>
        </w:tblCellMar>
      </w:tblPr>
      <w:tr>
        <w:trPr>
          <w:trHeight w:val="164"/>
        </w:trPr>
        <w:tc>
          <w:tcPr>
            <w:tcW w:w="1760" w:type="dxa"/>
            <w:vAlign w:val="bottom"/>
            <w:vMerge w:val="restart"/>
          </w:tcPr>
          <w:p>
            <w:pPr>
              <w:jc w:val="center"/>
              <w:ind w:right="1135"/>
              <w:spacing w:after="0"/>
              <w:rPr>
                <w:sz w:val="20"/>
                <w:szCs w:val="20"/>
                <w:color w:val="auto"/>
              </w:rPr>
            </w:pPr>
            <w:r>
              <w:rPr>
                <w:rFonts w:ascii="Arial" w:cs="Arial" w:eastAsia="Arial" w:hAnsi="Arial"/>
                <w:sz w:val="13"/>
                <w:szCs w:val="13"/>
                <w:b w:val="1"/>
                <w:bCs w:val="1"/>
                <w:color w:val="42516C"/>
              </w:rPr>
              <w:t>Personal</w:t>
            </w:r>
          </w:p>
        </w:tc>
        <w:tc>
          <w:tcPr>
            <w:tcW w:w="1840" w:type="dxa"/>
            <w:vAlign w:val="bottom"/>
          </w:tcPr>
          <w:p>
            <w:pPr>
              <w:jc w:val="center"/>
              <w:ind w:left="1035"/>
              <w:spacing w:after="0"/>
              <w:rPr>
                <w:sz w:val="20"/>
                <w:szCs w:val="20"/>
                <w:color w:val="auto"/>
              </w:rPr>
            </w:pPr>
            <w:r>
              <w:rPr>
                <w:rFonts w:ascii="Arial" w:cs="Arial" w:eastAsia="Arial" w:hAnsi="Arial"/>
                <w:sz w:val="13"/>
                <w:szCs w:val="13"/>
                <w:b w:val="1"/>
                <w:bCs w:val="1"/>
                <w:color w:val="42516C"/>
                <w:w w:val="99"/>
              </w:rPr>
              <w:t>Commercial</w:t>
            </w:r>
          </w:p>
        </w:tc>
        <w:tc>
          <w:tcPr>
            <w:tcW w:w="0" w:type="dxa"/>
            <w:vAlign w:val="bottom"/>
          </w:tcPr>
          <w:p>
            <w:pPr>
              <w:spacing w:after="0"/>
              <w:rPr>
                <w:sz w:val="1"/>
                <w:szCs w:val="1"/>
                <w:color w:val="auto"/>
              </w:rPr>
            </w:pPr>
          </w:p>
        </w:tc>
      </w:tr>
      <w:tr>
        <w:trPr>
          <w:trHeight w:val="82"/>
        </w:trPr>
        <w:tc>
          <w:tcPr>
            <w:tcW w:w="1760" w:type="dxa"/>
            <w:vAlign w:val="bottom"/>
            <w:vMerge w:val="continue"/>
          </w:tcPr>
          <w:p>
            <w:pPr>
              <w:spacing w:after="0"/>
              <w:rPr>
                <w:sz w:val="7"/>
                <w:szCs w:val="7"/>
                <w:color w:val="auto"/>
              </w:rPr>
            </w:pPr>
          </w:p>
        </w:tc>
        <w:tc>
          <w:tcPr>
            <w:tcW w:w="1840" w:type="dxa"/>
            <w:vAlign w:val="bottom"/>
            <w:vMerge w:val="restart"/>
          </w:tcPr>
          <w:p>
            <w:pPr>
              <w:jc w:val="center"/>
              <w:ind w:left="1075"/>
              <w:spacing w:after="0"/>
              <w:rPr>
                <w:sz w:val="20"/>
                <w:szCs w:val="20"/>
                <w:color w:val="auto"/>
              </w:rPr>
            </w:pPr>
            <w:r>
              <w:rPr>
                <w:rFonts w:ascii="Arial" w:cs="Arial" w:eastAsia="Arial" w:hAnsi="Arial"/>
                <w:sz w:val="13"/>
                <w:szCs w:val="13"/>
                <w:b w:val="1"/>
                <w:bCs w:val="1"/>
                <w:color w:val="42516C"/>
                <w:w w:val="94"/>
              </w:rPr>
              <w:t>P&amp;C</w:t>
            </w:r>
          </w:p>
        </w:tc>
        <w:tc>
          <w:tcPr>
            <w:tcW w:w="0" w:type="dxa"/>
            <w:vAlign w:val="bottom"/>
          </w:tcPr>
          <w:p>
            <w:pPr>
              <w:spacing w:after="0"/>
              <w:rPr>
                <w:sz w:val="1"/>
                <w:szCs w:val="1"/>
                <w:color w:val="auto"/>
              </w:rPr>
            </w:pPr>
          </w:p>
        </w:tc>
      </w:tr>
      <w:tr>
        <w:trPr>
          <w:trHeight w:val="70"/>
        </w:trPr>
        <w:tc>
          <w:tcPr>
            <w:tcW w:w="1760" w:type="dxa"/>
            <w:vAlign w:val="bottom"/>
            <w:vMerge w:val="restart"/>
          </w:tcPr>
          <w:p>
            <w:pPr>
              <w:jc w:val="center"/>
              <w:ind w:right="1115"/>
              <w:spacing w:after="0"/>
              <w:rPr>
                <w:sz w:val="20"/>
                <w:szCs w:val="20"/>
                <w:color w:val="auto"/>
              </w:rPr>
            </w:pPr>
            <w:r>
              <w:rPr>
                <w:rFonts w:ascii="Arial" w:cs="Arial" w:eastAsia="Arial" w:hAnsi="Arial"/>
                <w:sz w:val="13"/>
                <w:szCs w:val="13"/>
                <w:b w:val="1"/>
                <w:bCs w:val="1"/>
                <w:color w:val="42516C"/>
              </w:rPr>
              <w:t>lines</w:t>
            </w: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184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42516C"/>
              </w:rPr>
              <w:t>74%</w:t>
            </w:r>
          </w:p>
        </w:tc>
        <w:tc>
          <w:tcPr>
            <w:tcW w:w="0" w:type="dxa"/>
            <w:vAlign w:val="bottom"/>
          </w:tcPr>
          <w:p>
            <w:pPr>
              <w:spacing w:after="0"/>
              <w:rPr>
                <w:sz w:val="1"/>
                <w:szCs w:val="1"/>
                <w:color w:val="auto"/>
              </w:rPr>
            </w:pPr>
          </w:p>
        </w:tc>
      </w:tr>
      <w:tr>
        <w:trPr>
          <w:trHeight w:val="77"/>
        </w:trPr>
        <w:tc>
          <w:tcPr>
            <w:tcW w:w="1760" w:type="dxa"/>
            <w:vAlign w:val="bottom"/>
            <w:vMerge w:val="restart"/>
          </w:tcPr>
          <w:p>
            <w:pPr>
              <w:jc w:val="center"/>
              <w:ind w:right="1095"/>
              <w:spacing w:after="0"/>
              <w:rPr>
                <w:sz w:val="20"/>
                <w:szCs w:val="20"/>
                <w:color w:val="auto"/>
              </w:rPr>
            </w:pPr>
            <w:r>
              <w:rPr>
                <w:rFonts w:ascii="Arial" w:cs="Arial" w:eastAsia="Arial" w:hAnsi="Arial"/>
                <w:sz w:val="13"/>
                <w:szCs w:val="13"/>
                <w:b w:val="1"/>
                <w:bCs w:val="1"/>
                <w:color w:val="42516C"/>
              </w:rPr>
              <w:t>1%</w:t>
            </w: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760" w:type="dxa"/>
            <w:vAlign w:val="bottom"/>
          </w:tcPr>
          <w:p>
            <w:pPr>
              <w:jc w:val="center"/>
              <w:ind w:right="995"/>
              <w:spacing w:after="0"/>
              <w:rPr>
                <w:sz w:val="20"/>
                <w:szCs w:val="20"/>
                <w:color w:val="auto"/>
              </w:rPr>
            </w:pPr>
            <w:r>
              <w:rPr>
                <w:rFonts w:ascii="Arial" w:cs="Arial" w:eastAsia="Arial" w:hAnsi="Arial"/>
                <w:sz w:val="13"/>
                <w:szCs w:val="13"/>
                <w:b w:val="1"/>
                <w:bCs w:val="1"/>
                <w:color w:val="42516C"/>
              </w:rPr>
              <w:t>Employee</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760" w:type="dxa"/>
            <w:vAlign w:val="bottom"/>
          </w:tcPr>
          <w:p>
            <w:pPr>
              <w:jc w:val="center"/>
              <w:ind w:right="975"/>
              <w:spacing w:after="0"/>
              <w:rPr>
                <w:sz w:val="20"/>
                <w:szCs w:val="20"/>
                <w:color w:val="auto"/>
              </w:rPr>
            </w:pPr>
            <w:r>
              <w:rPr>
                <w:rFonts w:ascii="Arial" w:cs="Arial" w:eastAsia="Arial" w:hAnsi="Arial"/>
                <w:sz w:val="13"/>
                <w:szCs w:val="13"/>
                <w:b w:val="1"/>
                <w:bCs w:val="1"/>
                <w:color w:val="42516C"/>
              </w:rPr>
              <w:t>Benefits</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tcPr>
          <w:p>
            <w:pPr>
              <w:jc w:val="right"/>
              <w:ind w:right="1195"/>
              <w:spacing w:after="0"/>
              <w:rPr>
                <w:sz w:val="20"/>
                <w:szCs w:val="20"/>
                <w:color w:val="auto"/>
              </w:rPr>
            </w:pPr>
            <w:r>
              <w:rPr>
                <w:rFonts w:ascii="Arial" w:cs="Arial" w:eastAsia="Arial" w:hAnsi="Arial"/>
                <w:sz w:val="13"/>
                <w:szCs w:val="13"/>
                <w:b w:val="1"/>
                <w:bCs w:val="1"/>
                <w:color w:val="42516C"/>
              </w:rPr>
              <w:t>10%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132647"/>
        </w:rPr>
        <w:t>2007 Total Revenues: $2,578 million</w:t>
      </w:r>
    </w:p>
    <w:p>
      <w:pPr>
        <w:spacing w:after="0" w:line="30"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132647"/>
        </w:rPr>
        <w:t>65% Commissions / 35% Fees</w:t>
      </w:r>
    </w:p>
    <w:p>
      <w:pPr>
        <w:spacing w:after="0" w:line="210" w:lineRule="exact"/>
        <w:rPr>
          <w:sz w:val="20"/>
          <w:szCs w:val="20"/>
          <w:color w:val="auto"/>
        </w:rPr>
      </w:pPr>
    </w:p>
    <w:p>
      <w:pPr>
        <w:ind w:left="2480"/>
        <w:spacing w:after="0"/>
        <w:rPr>
          <w:sz w:val="20"/>
          <w:szCs w:val="20"/>
          <w:color w:val="auto"/>
        </w:rPr>
      </w:pPr>
      <w:r>
        <w:rPr>
          <w:rFonts w:ascii="Arial" w:cs="Arial" w:eastAsia="Arial" w:hAnsi="Arial"/>
          <w:sz w:val="25"/>
          <w:szCs w:val="25"/>
          <w:b w:val="1"/>
          <w:bCs w:val="1"/>
          <w:color w:val="132647"/>
        </w:rPr>
        <w:t>HRH</w:t>
      </w:r>
    </w:p>
    <w:p>
      <w:pPr>
        <w:spacing w:after="0" w:line="69" w:lineRule="exact"/>
        <w:rPr>
          <w:sz w:val="20"/>
          <w:szCs w:val="20"/>
          <w:color w:val="auto"/>
        </w:rPr>
      </w:pPr>
    </w:p>
    <w:p>
      <w:pPr>
        <w:jc w:val="center"/>
        <w:ind w:left="60"/>
        <w:spacing w:after="0"/>
        <w:rPr>
          <w:sz w:val="20"/>
          <w:szCs w:val="20"/>
          <w:color w:val="auto"/>
        </w:rPr>
      </w:pPr>
      <w:r>
        <w:rPr>
          <w:rFonts w:ascii="Arial" w:cs="Arial" w:eastAsia="Arial" w:hAnsi="Arial"/>
          <w:sz w:val="12"/>
          <w:szCs w:val="12"/>
          <w:b w:val="1"/>
          <w:bCs w:val="1"/>
          <w:color w:val="42516C"/>
        </w:rPr>
        <w:t>Personal</w:t>
      </w:r>
    </w:p>
    <w:p>
      <w:pPr>
        <w:spacing w:after="0" w:line="16" w:lineRule="exact"/>
        <w:rPr>
          <w:sz w:val="20"/>
          <w:szCs w:val="20"/>
          <w:color w:val="auto"/>
        </w:rPr>
      </w:pPr>
    </w:p>
    <w:p>
      <w:pPr>
        <w:jc w:val="center"/>
        <w:ind w:left="60"/>
        <w:spacing w:after="0"/>
        <w:rPr>
          <w:sz w:val="20"/>
          <w:szCs w:val="20"/>
          <w:color w:val="auto"/>
        </w:rPr>
      </w:pPr>
      <w:r>
        <w:rPr>
          <w:rFonts w:ascii="Arial" w:cs="Arial" w:eastAsia="Arial" w:hAnsi="Arial"/>
          <w:sz w:val="12"/>
          <w:szCs w:val="12"/>
          <w:b w:val="1"/>
          <w:bCs w:val="1"/>
          <w:color w:val="42516C"/>
        </w:rPr>
        <w:t>Lines</w:t>
      </w:r>
    </w:p>
    <w:p>
      <w:pPr>
        <w:ind w:left="1580"/>
        <w:spacing w:after="0" w:line="184" w:lineRule="auto"/>
        <w:tabs>
          <w:tab w:leader="none" w:pos="2460" w:val="left"/>
        </w:tabs>
        <w:rPr>
          <w:sz w:val="20"/>
          <w:szCs w:val="20"/>
          <w:color w:val="auto"/>
        </w:rPr>
      </w:pPr>
      <w:r>
        <w:rPr>
          <w:rFonts w:ascii="Arial" w:cs="Arial" w:eastAsia="Arial" w:hAnsi="Arial"/>
          <w:sz w:val="12"/>
          <w:szCs w:val="12"/>
          <w:b w:val="1"/>
          <w:bCs w:val="1"/>
          <w:color w:val="42516C"/>
        </w:rPr>
        <w:t>Wholesale</w:t>
      </w:r>
      <w:r>
        <w:rPr>
          <w:sz w:val="20"/>
          <w:szCs w:val="20"/>
          <w:color w:val="auto"/>
        </w:rPr>
        <w:tab/>
      </w:r>
      <w:r>
        <w:rPr>
          <w:rFonts w:ascii="Arial" w:cs="Arial" w:eastAsia="Arial" w:hAnsi="Arial"/>
          <w:sz w:val="23"/>
          <w:szCs w:val="23"/>
          <w:b w:val="1"/>
          <w:bCs w:val="1"/>
          <w:color w:val="42516C"/>
          <w:vertAlign w:val="superscript"/>
        </w:rPr>
        <w:t>6%</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12"/>
          <w:szCs w:val="12"/>
          <w:b w:val="1"/>
          <w:bCs w:val="1"/>
          <w:color w:val="42516C"/>
        </w:rPr>
        <w:t>9%</w:t>
      </w:r>
    </w:p>
    <w:p>
      <w:pPr>
        <w:spacing w:after="0" w:line="130" w:lineRule="exact"/>
        <w:rPr>
          <w:sz w:val="20"/>
          <w:szCs w:val="20"/>
          <w:color w:val="auto"/>
        </w:rPr>
      </w:pPr>
    </w:p>
    <w:p>
      <w:pPr>
        <w:jc w:val="center"/>
        <w:ind w:right="2240"/>
        <w:spacing w:after="0"/>
        <w:rPr>
          <w:sz w:val="20"/>
          <w:szCs w:val="20"/>
          <w:color w:val="auto"/>
        </w:rPr>
      </w:pPr>
      <w:r>
        <w:rPr>
          <w:rFonts w:ascii="Arial" w:cs="Arial" w:eastAsia="Arial" w:hAnsi="Arial"/>
          <w:sz w:val="11"/>
          <w:szCs w:val="11"/>
          <w:b w:val="1"/>
          <w:bCs w:val="1"/>
          <w:color w:val="42516C"/>
        </w:rPr>
        <w:t>Reinsurance</w:t>
      </w:r>
    </w:p>
    <w:p>
      <w:pPr>
        <w:spacing w:after="0" w:line="28" w:lineRule="exact"/>
        <w:rPr>
          <w:sz w:val="20"/>
          <w:szCs w:val="20"/>
          <w:color w:val="auto"/>
        </w:rPr>
      </w:pPr>
    </w:p>
    <w:p>
      <w:pPr>
        <w:jc w:val="center"/>
        <w:ind w:right="2260"/>
        <w:spacing w:after="0"/>
        <w:rPr>
          <w:sz w:val="20"/>
          <w:szCs w:val="20"/>
          <w:color w:val="auto"/>
        </w:rPr>
      </w:pPr>
      <w:r>
        <w:rPr>
          <w:rFonts w:ascii="Arial" w:cs="Arial" w:eastAsia="Arial" w:hAnsi="Arial"/>
          <w:sz w:val="12"/>
          <w:szCs w:val="12"/>
          <w:b w:val="1"/>
          <w:bCs w:val="1"/>
          <w:color w:val="42516C"/>
        </w:rPr>
        <w:t>1%</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42516C"/>
        </w:rPr>
        <w:t>Employee</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42516C"/>
        </w:rPr>
        <w:t>Benefits</w:t>
      </w:r>
    </w:p>
    <w:p>
      <w:pPr>
        <w:ind w:left="1380"/>
        <w:spacing w:after="0" w:line="185" w:lineRule="auto"/>
        <w:rPr>
          <w:sz w:val="20"/>
          <w:szCs w:val="20"/>
          <w:color w:val="auto"/>
        </w:rPr>
      </w:pPr>
      <w:r>
        <w:rPr>
          <w:rFonts w:ascii="Arial" w:cs="Arial" w:eastAsia="Arial" w:hAnsi="Arial"/>
          <w:sz w:val="11"/>
          <w:szCs w:val="11"/>
          <w:b w:val="1"/>
          <w:bCs w:val="1"/>
          <w:color w:val="42516C"/>
        </w:rPr>
        <w:t>21%</w:t>
      </w:r>
    </w:p>
    <w:p>
      <w:pPr>
        <w:jc w:val="right"/>
        <w:ind w:right="640"/>
        <w:spacing w:after="0"/>
        <w:rPr>
          <w:sz w:val="20"/>
          <w:szCs w:val="20"/>
          <w:color w:val="auto"/>
        </w:rPr>
      </w:pPr>
      <w:r>
        <w:rPr>
          <w:rFonts w:ascii="Arial" w:cs="Arial" w:eastAsia="Arial" w:hAnsi="Arial"/>
          <w:sz w:val="12"/>
          <w:szCs w:val="12"/>
          <w:b w:val="1"/>
          <w:bCs w:val="1"/>
          <w:color w:val="42516C"/>
        </w:rPr>
        <w:t>Commercial</w:t>
      </w:r>
    </w:p>
    <w:p>
      <w:pPr>
        <w:spacing w:after="0" w:line="2"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42516C"/>
        </w:rPr>
        <w:t>P&amp;C</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42516C"/>
        </w:rPr>
        <w:t>63%</w:t>
      </w:r>
    </w:p>
    <w:p>
      <w:pPr>
        <w:spacing w:after="0" w:line="330" w:lineRule="exact"/>
        <w:rPr>
          <w:sz w:val="20"/>
          <w:szCs w:val="20"/>
          <w:color w:val="auto"/>
        </w:rPr>
      </w:pPr>
    </w:p>
    <w:p>
      <w:pPr>
        <w:jc w:val="center"/>
        <w:ind w:left="1020"/>
        <w:spacing w:after="0"/>
        <w:rPr>
          <w:sz w:val="20"/>
          <w:szCs w:val="20"/>
          <w:color w:val="auto"/>
        </w:rPr>
      </w:pPr>
      <w:r>
        <w:rPr>
          <w:rFonts w:ascii="Arial" w:cs="Arial" w:eastAsia="Arial" w:hAnsi="Arial"/>
          <w:sz w:val="15"/>
          <w:szCs w:val="15"/>
          <w:b w:val="1"/>
          <w:bCs w:val="1"/>
          <w:color w:val="132647"/>
        </w:rPr>
        <w:t>2007 Total Revenues: $800 million</w:t>
      </w:r>
    </w:p>
    <w:p>
      <w:pPr>
        <w:spacing w:after="0" w:line="30" w:lineRule="exact"/>
        <w:rPr>
          <w:sz w:val="20"/>
          <w:szCs w:val="20"/>
          <w:color w:val="auto"/>
        </w:rPr>
      </w:pPr>
    </w:p>
    <w:p>
      <w:pPr>
        <w:jc w:val="center"/>
        <w:ind w:left="1040"/>
        <w:spacing w:after="0"/>
        <w:rPr>
          <w:sz w:val="20"/>
          <w:szCs w:val="20"/>
          <w:color w:val="auto"/>
        </w:rPr>
      </w:pPr>
      <w:r>
        <w:rPr>
          <w:rFonts w:ascii="Arial" w:cs="Arial" w:eastAsia="Arial" w:hAnsi="Arial"/>
          <w:sz w:val="15"/>
          <w:szCs w:val="15"/>
          <w:b w:val="1"/>
          <w:bCs w:val="1"/>
          <w:color w:val="132647"/>
        </w:rPr>
        <w:t>85% Commissions / 15% Fees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520"/>
        <w:spacing w:after="0"/>
        <w:rPr>
          <w:sz w:val="20"/>
          <w:szCs w:val="20"/>
          <w:color w:val="auto"/>
        </w:rPr>
      </w:pPr>
      <w:r>
        <w:rPr>
          <w:rFonts w:ascii="Arial" w:cs="Arial" w:eastAsia="Arial" w:hAnsi="Arial"/>
          <w:sz w:val="25"/>
          <w:szCs w:val="25"/>
          <w:b w:val="1"/>
          <w:bCs w:val="1"/>
          <w:color w:val="132647"/>
        </w:rPr>
        <w:t>PRO FORMA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42516C"/>
        </w:rPr>
        <w:t>Personal</w:t>
      </w:r>
    </w:p>
    <w:p>
      <w:pPr>
        <w:spacing w:after="0" w:line="33" w:lineRule="exact"/>
        <w:rPr>
          <w:sz w:val="20"/>
          <w:szCs w:val="20"/>
          <w:color w:val="auto"/>
        </w:rPr>
      </w:pPr>
    </w:p>
    <w:p>
      <w:pPr>
        <w:ind w:left="920"/>
        <w:spacing w:after="0"/>
        <w:tabs>
          <w:tab w:leader="none" w:pos="2040" w:val="left"/>
        </w:tabs>
        <w:rPr>
          <w:sz w:val="20"/>
          <w:szCs w:val="20"/>
          <w:color w:val="auto"/>
        </w:rPr>
      </w:pPr>
      <w:r>
        <w:rPr>
          <w:rFonts w:ascii="Arial" w:cs="Arial" w:eastAsia="Arial" w:hAnsi="Arial"/>
          <w:sz w:val="16"/>
          <w:szCs w:val="16"/>
          <w:b w:val="1"/>
          <w:bCs w:val="1"/>
          <w:color w:val="42516C"/>
        </w:rPr>
        <w:t>Wholesale</w:t>
      </w:r>
      <w:r>
        <w:rPr>
          <w:sz w:val="20"/>
          <w:szCs w:val="20"/>
          <w:color w:val="auto"/>
        </w:rPr>
        <w:tab/>
      </w:r>
      <w:r>
        <w:rPr>
          <w:rFonts w:ascii="Arial" w:cs="Arial" w:eastAsia="Arial" w:hAnsi="Arial"/>
          <w:sz w:val="16"/>
          <w:szCs w:val="16"/>
          <w:b w:val="1"/>
          <w:bCs w:val="1"/>
          <w:color w:val="42516C"/>
        </w:rPr>
        <w:t>Lines</w:t>
      </w:r>
    </w:p>
    <w:p>
      <w:pPr>
        <w:spacing w:after="0" w:line="27" w:lineRule="exact"/>
        <w:rPr>
          <w:sz w:val="20"/>
          <w:szCs w:val="20"/>
          <w:color w:val="auto"/>
        </w:rPr>
      </w:pPr>
    </w:p>
    <w:p>
      <w:pPr>
        <w:ind w:left="1260"/>
        <w:spacing w:after="0"/>
        <w:tabs>
          <w:tab w:leader="none" w:pos="2160" w:val="left"/>
        </w:tabs>
        <w:rPr>
          <w:sz w:val="20"/>
          <w:szCs w:val="20"/>
          <w:color w:val="auto"/>
        </w:rPr>
      </w:pPr>
      <w:r>
        <w:rPr>
          <w:rFonts w:ascii="Arial" w:cs="Arial" w:eastAsia="Arial" w:hAnsi="Arial"/>
          <w:sz w:val="16"/>
          <w:szCs w:val="16"/>
          <w:b w:val="1"/>
          <w:bCs w:val="1"/>
          <w:color w:val="42516C"/>
        </w:rPr>
        <w:t>2%</w:t>
      </w:r>
      <w:r>
        <w:rPr>
          <w:sz w:val="20"/>
          <w:szCs w:val="20"/>
          <w:color w:val="auto"/>
        </w:rPr>
        <w:tab/>
      </w:r>
      <w:r>
        <w:rPr>
          <w:rFonts w:ascii="Arial" w:cs="Arial" w:eastAsia="Arial" w:hAnsi="Arial"/>
          <w:sz w:val="16"/>
          <w:szCs w:val="16"/>
          <w:b w:val="1"/>
          <w:bCs w:val="1"/>
          <w:color w:val="42516C"/>
        </w:rPr>
        <w:t>2%</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2516C"/>
        </w:rPr>
        <w:t>Reinsurance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42516C"/>
        </w:rPr>
        <w:t>12%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42516C"/>
        </w:rPr>
        <w:t>Employee</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42516C"/>
        </w:rPr>
        <w:t>Benefits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42516C"/>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32647"/>
        </w:rPr>
        <w:t>2007 Total Revenues: $3,378 million</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132647"/>
        </w:rPr>
        <w:t>70% Commissions / 30%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42516C"/>
        </w:rPr>
        <w:t>Commercial</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42516C"/>
        </w:rPr>
        <w:t>P&amp;C</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42516C"/>
        </w:rPr>
        <w:t>71%</w:t>
      </w:r>
    </w:p>
    <w:p>
      <w:pPr>
        <w:spacing w:after="0" w:line="3381" w:lineRule="exact"/>
        <w:rPr>
          <w:sz w:val="20"/>
          <w:szCs w:val="20"/>
          <w:color w:val="auto"/>
        </w:rPr>
      </w:pPr>
    </w:p>
    <w:p>
      <w:pPr>
        <w:sectPr>
          <w:pgSz w:w="11900" w:h="16838" w:orient="portrait"/>
          <w:cols w:equalWidth="0" w:num="3">
            <w:col w:w="5080" w:space="720"/>
            <w:col w:w="3540" w:space="360"/>
            <w:col w:w="940"/>
          </w:cols>
          <w:pgMar w:left="660" w:top="174" w:right="599" w:bottom="1440" w:gutter="0" w:footer="0" w:header="0"/>
          <w:type w:val="continuous"/>
        </w:sectPr>
      </w:pPr>
    </w:p>
    <w:p>
      <w:pPr>
        <w:spacing w:after="0" w:line="120" w:lineRule="exact"/>
        <w:rPr>
          <w:sz w:val="20"/>
          <w:szCs w:val="20"/>
          <w:color w:val="auto"/>
        </w:rPr>
      </w:pPr>
    </w:p>
    <w:p>
      <w:pPr>
        <w:ind w:left="10140"/>
        <w:spacing w:after="0"/>
        <w:rPr>
          <w:sz w:val="20"/>
          <w:szCs w:val="20"/>
          <w:color w:val="auto"/>
        </w:rPr>
      </w:pPr>
      <w:r>
        <w:rPr>
          <w:rFonts w:ascii="Arial" w:cs="Arial" w:eastAsia="Arial" w:hAnsi="Arial"/>
          <w:sz w:val="21"/>
          <w:szCs w:val="21"/>
          <w:color w:val="132647"/>
        </w:rPr>
        <w:t>15</w:t>
      </w:r>
    </w:p>
    <w:p>
      <w:pPr>
        <w:sectPr>
          <w:pgSz w:w="11900" w:h="16838" w:orient="portrait"/>
          <w:cols w:equalWidth="0" w:num="1">
            <w:col w:w="10640"/>
          </w:cols>
          <w:pgMar w:left="660" w:top="174" w:right="59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65"/>
          <w:szCs w:val="65"/>
          <w:color w:val="132647"/>
        </w:rPr>
        <w:t>Financial summary</w:t>
      </w:r>
    </w:p>
    <w:p>
      <w:pPr>
        <w:sectPr>
          <w:pgSz w:w="11900" w:h="16838" w:orient="portrait"/>
          <w:cols w:equalWidth="0" w:num="1">
            <w:col w:w="9779"/>
          </w:cols>
          <w:pgMar w:left="680" w:top="1440" w:right="1440" w:bottom="1440" w:gutter="0" w:footer="0" w:header="0"/>
        </w:sectPr>
      </w:pPr>
    </w:p>
    <w:bookmarkStart w:id="29" w:name="page30"/>
    <w:bookmarkEnd w:id="29"/>
    <w:p>
      <w:pPr>
        <w:ind w:left="120"/>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Financial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447675</wp:posOffset>
            </wp:positionV>
            <wp:extent cx="7025640" cy="4452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5640" cy="4452620"/>
                    </a:xfrm>
                    <a:prstGeom prst="rect">
                      <a:avLst/>
                    </a:prstGeom>
                    <a:noFill/>
                  </pic:spPr>
                </pic:pic>
              </a:graphicData>
            </a:graphic>
          </wp:anchor>
        </w:drawing>
      </w:r>
    </w:p>
    <w:p>
      <w:pPr>
        <w:sectPr>
          <w:pgSz w:w="11900" w:h="16838" w:orient="portrait"/>
          <w:cols w:equalWidth="0" w:num="1">
            <w:col w:w="10700"/>
          </w:cols>
          <w:pgMar w:left="600" w:top="16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TRANSACTION</w:t>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PRICE PER SHARE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AGGREGATE CONSIDERATION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APPROVALS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Willis to acquire 100% of Hilb Rogal &amp; Hobbs (HRH)</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$46.00</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50% cash, 50% stock</w:t>
      </w:r>
    </w:p>
    <w:p>
      <w:pPr>
        <w:spacing w:after="0" w:line="43" w:lineRule="exact"/>
        <w:rPr>
          <w:sz w:val="20"/>
          <w:szCs w:val="20"/>
          <w:color w:val="auto"/>
        </w:rPr>
      </w:pPr>
    </w:p>
    <w:p>
      <w:pPr>
        <w:ind w:right="320"/>
        <w:spacing w:after="0" w:line="330" w:lineRule="auto"/>
        <w:rPr>
          <w:sz w:val="20"/>
          <w:szCs w:val="20"/>
          <w:color w:val="auto"/>
        </w:rPr>
      </w:pPr>
      <w:r>
        <w:rPr>
          <w:rFonts w:ascii="Arial" w:cs="Arial" w:eastAsia="Arial" w:hAnsi="Arial"/>
          <w:sz w:val="22"/>
          <w:szCs w:val="22"/>
          <w:b w:val="1"/>
          <w:bCs w:val="1"/>
          <w:color w:val="auto"/>
        </w:rPr>
        <w:t xml:space="preserve">Tax free transaction to Hilb Rogal &amp; Hobbs shareholders Transaction includes a collar </w:t>
      </w:r>
      <w:r>
        <w:rPr>
          <w:rFonts w:ascii="Arial" w:cs="Arial" w:eastAsia="Arial" w:hAnsi="Arial"/>
          <w:sz w:val="22"/>
          <w:szCs w:val="22"/>
          <w:b w:val="1"/>
          <w:bCs w:val="1"/>
          <w:color w:val="132647"/>
          <w:vertAlign w:val="superscript"/>
        </w:rPr>
        <w:t>(1)</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billion equity value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$2.1 billion enterprise value </w:t>
      </w:r>
      <w:r>
        <w:rPr>
          <w:rFonts w:ascii="Arial" w:cs="Arial" w:eastAsia="Arial" w:hAnsi="Arial"/>
          <w:sz w:val="10"/>
          <w:szCs w:val="10"/>
          <w:b w:val="1"/>
          <w:bCs w:val="1"/>
          <w:color w:val="132647"/>
        </w:rPr>
        <w:t>(2)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Customary regulatory approvals and HRH shareholder vote</w:t>
      </w:r>
    </w:p>
    <w:p>
      <w:pPr>
        <w:spacing w:after="0" w:line="200" w:lineRule="exact"/>
        <w:rPr>
          <w:sz w:val="20"/>
          <w:szCs w:val="20"/>
          <w:color w:val="auto"/>
        </w:rPr>
      </w:pPr>
    </w:p>
    <w:p>
      <w:pPr>
        <w:sectPr>
          <w:pgSz w:w="11900" w:h="16838" w:orient="portrait"/>
          <w:cols w:equalWidth="0" w:num="2">
            <w:col w:w="3680" w:space="720"/>
            <w:col w:w="6300"/>
          </w:cols>
          <w:pgMar w:left="600" w:top="16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132647"/>
        </w:rPr>
        <w:t>(1) The transaction includes a 12% collar, that is, if Willis’ share price increases or decreases up to 12%, the aggregate consideration remains $46.00</w:t>
      </w:r>
    </w:p>
    <w:p>
      <w:pPr>
        <w:spacing w:after="0" w:line="10" w:lineRule="exact"/>
        <w:rPr>
          <w:sz w:val="20"/>
          <w:szCs w:val="20"/>
          <w:color w:val="auto"/>
        </w:rPr>
      </w:pPr>
    </w:p>
    <w:p>
      <w:pPr>
        <w:ind w:right="100"/>
        <w:spacing w:after="0"/>
        <w:rPr>
          <w:sz w:val="20"/>
          <w:szCs w:val="20"/>
          <w:color w:val="auto"/>
        </w:rPr>
      </w:pPr>
      <w:r>
        <w:rPr>
          <w:rFonts w:ascii="Arial" w:cs="Arial" w:eastAsia="Arial" w:hAnsi="Arial"/>
          <w:sz w:val="14"/>
          <w:szCs w:val="14"/>
          <w:b w:val="1"/>
          <w:bCs w:val="1"/>
          <w:color w:val="132647"/>
        </w:rPr>
        <w:t>per share; if, however, the Willis share price increases or decreases more than 12%, 50% of the consideration would adjust based on the value of Willis’ stock (resulting in a transaction value per share less than or greater than $46.00)</w:t>
      </w:r>
    </w:p>
    <w:p>
      <w:pPr>
        <w:spacing w:after="0" w:line="156" w:lineRule="exact"/>
        <w:rPr>
          <w:sz w:val="20"/>
          <w:szCs w:val="20"/>
          <w:color w:val="auto"/>
        </w:rPr>
      </w:pPr>
    </w:p>
    <w:p>
      <w:pPr>
        <w:ind w:left="10200"/>
        <w:spacing w:after="0"/>
        <w:rPr>
          <w:sz w:val="20"/>
          <w:szCs w:val="20"/>
          <w:color w:val="auto"/>
        </w:rPr>
      </w:pPr>
      <w:r>
        <w:rPr>
          <w:rFonts w:ascii="Arial" w:cs="Arial" w:eastAsia="Arial" w:hAnsi="Arial"/>
          <w:sz w:val="22"/>
          <w:szCs w:val="22"/>
          <w:color w:val="132647"/>
        </w:rPr>
        <w:t>17</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132647"/>
        </w:rPr>
        <w:t>(2) See appendix for definitions of non-GAAP measures</w:t>
      </w:r>
    </w:p>
    <w:p>
      <w:pPr>
        <w:sectPr>
          <w:pgSz w:w="11900" w:h="16838" w:orient="portrait"/>
          <w:cols w:equalWidth="0" w:num="1">
            <w:col w:w="10700"/>
          </w:cols>
          <w:pgMar w:left="600" w:top="162" w:right="599" w:bottom="1440" w:gutter="0" w:footer="0" w:header="0"/>
          <w:type w:val="continuous"/>
        </w:sectPr>
      </w:pPr>
    </w:p>
    <w:bookmarkStart w:id="30" w:name="page31"/>
    <w:bookmarkEnd w:id="30"/>
    <w:p>
      <w:pPr>
        <w:ind w:left="300"/>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Transaction 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559435</wp:posOffset>
            </wp:positionV>
            <wp:extent cx="7033260" cy="4340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3260" cy="4340860"/>
                    </a:xfrm>
                    <a:prstGeom prst="rect">
                      <a:avLst/>
                    </a:prstGeom>
                    <a:noFill/>
                  </pic:spPr>
                </pic:pic>
              </a:graphicData>
            </a:graphic>
          </wp:anchor>
        </w:drawing>
      </w:r>
    </w:p>
    <w:p>
      <w:pPr>
        <w:sectPr>
          <w:pgSz w:w="11900" w:h="16838" w:orient="portrait"/>
          <w:cols w:equalWidth="0" w:num="1">
            <w:col w:w="10980"/>
          </w:cols>
          <w:pgMar w:left="420" w:top="1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SYNERGIES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RESTRUCTURING PROGRAM</w:t>
      </w:r>
    </w:p>
    <w:p>
      <w:pPr>
        <w:spacing w:after="0" w:line="39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FINANCING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 ASSUMPTIONS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2.4x 2008E revenue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Less than 10x Hilb Rogal &amp; Hobbs estimated 2008E EBITDA</w:t>
      </w:r>
    </w:p>
    <w:p>
      <w:pPr>
        <w:spacing w:after="0" w:line="28" w:lineRule="exact"/>
        <w:rPr>
          <w:sz w:val="20"/>
          <w:szCs w:val="20"/>
          <w:color w:val="auto"/>
        </w:rPr>
      </w:pPr>
    </w:p>
    <w:p>
      <w:pPr>
        <w:spacing w:after="0" w:line="288" w:lineRule="auto"/>
        <w:rPr>
          <w:sz w:val="20"/>
          <w:szCs w:val="20"/>
          <w:color w:val="auto"/>
        </w:rPr>
      </w:pPr>
      <w:r>
        <w:rPr>
          <w:rFonts w:ascii="Arial" w:cs="Arial" w:eastAsia="Arial" w:hAnsi="Arial"/>
          <w:sz w:val="19"/>
          <w:szCs w:val="19"/>
          <w:b w:val="1"/>
          <w:bCs w:val="1"/>
          <w:color w:val="auto"/>
        </w:rPr>
        <w:t>Accretion (dilution) relative to Willis' previously stated guidance, which assumed buyback accretion of up to $0.30 per share by 2010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Cash EPS accretive by 7% 2009, 10% 2010, 14% 2011</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GAAP EPS dilutive by (3)% 2009; accretive by 2% 2010, 6% 2011</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Assumed $100 million in annual cost savings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50% in 2009, 100% thereafter</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8% of pro forma combined North America 2007 cost base; 3% of combined pro forma 2007 total cost base</w:t>
      </w:r>
    </w:p>
    <w:p>
      <w:pPr>
        <w:spacing w:after="0" w:line="43" w:lineRule="exact"/>
        <w:rPr>
          <w:sz w:val="20"/>
          <w:szCs w:val="20"/>
          <w:color w:val="auto"/>
        </w:rPr>
      </w:pPr>
    </w:p>
    <w:p>
      <w:pPr>
        <w:ind w:right="700"/>
        <w:spacing w:after="0" w:line="279" w:lineRule="auto"/>
        <w:rPr>
          <w:sz w:val="20"/>
          <w:szCs w:val="20"/>
          <w:color w:val="auto"/>
        </w:rPr>
      </w:pPr>
      <w:r>
        <w:rPr>
          <w:rFonts w:ascii="Arial" w:cs="Arial" w:eastAsia="Arial" w:hAnsi="Arial"/>
          <w:sz w:val="19"/>
          <w:szCs w:val="19"/>
          <w:b w:val="1"/>
          <w:bCs w:val="1"/>
          <w:color w:val="auto"/>
        </w:rPr>
        <w:t>Assumed efficiencies from implementation of Shaping our Future at HRH starting in 2010 with $40 million annualized by 2012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$75 million pre-tax</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Fully funded</w:t>
      </w:r>
    </w:p>
    <w:p>
      <w:pPr>
        <w:spacing w:after="0" w:line="71" w:lineRule="exact"/>
        <w:rPr>
          <w:sz w:val="20"/>
          <w:szCs w:val="20"/>
          <w:color w:val="auto"/>
        </w:rPr>
      </w:pPr>
    </w:p>
    <w:p>
      <w:pPr>
        <w:ind w:left="260" w:right="1560"/>
        <w:spacing w:after="0" w:line="380" w:lineRule="auto"/>
        <w:rPr>
          <w:sz w:val="20"/>
          <w:szCs w:val="20"/>
          <w:color w:val="auto"/>
        </w:rPr>
      </w:pPr>
      <w:r>
        <w:rPr>
          <w:rFonts w:ascii="Arial" w:cs="Arial" w:eastAsia="Arial" w:hAnsi="Arial"/>
          <w:sz w:val="14"/>
          <w:szCs w:val="14"/>
          <w:color w:val="auto"/>
        </w:rPr>
        <w:t>Combination of new $1.0 billion senior credit facilities and $1.25 billion bridge financing Investment grade status retained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billion existing authorized buyback</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Anticipate repurchase of the majority of shares issued in the transaction over time</w:t>
      </w:r>
    </w:p>
    <w:p>
      <w:pPr>
        <w:spacing w:after="0" w:line="200" w:lineRule="exact"/>
        <w:rPr>
          <w:sz w:val="20"/>
          <w:szCs w:val="20"/>
          <w:color w:val="auto"/>
        </w:rPr>
      </w:pPr>
    </w:p>
    <w:p>
      <w:pPr>
        <w:sectPr>
          <w:pgSz w:w="11900" w:h="16838" w:orient="portrait"/>
          <w:cols w:equalWidth="0" w:num="2">
            <w:col w:w="3260" w:space="480"/>
            <w:col w:w="7240"/>
          </w:cols>
          <w:pgMar w:left="420" w:top="17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380"/>
        <w:spacing w:after="0"/>
        <w:rPr>
          <w:sz w:val="20"/>
          <w:szCs w:val="20"/>
          <w:color w:val="auto"/>
        </w:rPr>
      </w:pPr>
      <w:r>
        <w:rPr>
          <w:rFonts w:ascii="Arial" w:cs="Arial" w:eastAsia="Arial" w:hAnsi="Arial"/>
          <w:sz w:val="21"/>
          <w:szCs w:val="21"/>
          <w:color w:val="132647"/>
        </w:rPr>
        <w:t>18</w:t>
      </w:r>
    </w:p>
    <w:p>
      <w:pPr>
        <w:sectPr>
          <w:pgSz w:w="11900" w:h="16838" w:orient="portrait"/>
          <w:cols w:equalWidth="0" w:num="1">
            <w:col w:w="10980"/>
          </w:cols>
          <w:pgMar w:left="420" w:top="174" w:right="4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Pro forma combined financial goals</w:t>
      </w:r>
    </w:p>
    <w:p>
      <w:pPr>
        <w:sectPr>
          <w:pgSz w:w="11900" w:h="16838" w:orient="portrait"/>
          <w:cols w:equalWidth="0" w:num="1">
            <w:col w:w="10400"/>
          </w:cols>
          <w:pgMar w:left="660" w:top="174" w:right="839" w:bottom="1440" w:gutter="0" w:footer="0" w:header="0"/>
        </w:sectPr>
      </w:pPr>
    </w:p>
    <w:p>
      <w:pPr>
        <w:spacing w:after="0" w:line="32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0028"/>
        </w:rPr>
        <w:t>Adjusted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-43815</wp:posOffset>
            </wp:positionV>
            <wp:extent cx="6943725" cy="4549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3725" cy="4549775"/>
                    </a:xfrm>
                    <a:prstGeom prst="rect">
                      <a:avLst/>
                    </a:prstGeom>
                    <a:noFill/>
                  </pic:spPr>
                </pic:pic>
              </a:graphicData>
            </a:graphic>
          </wp:anchor>
        </w:drawing>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42516C"/>
        </w:rPr>
        <w:t>27%</w:t>
      </w:r>
    </w:p>
    <w:p>
      <w:pPr>
        <w:ind w:left="940"/>
        <w:spacing w:after="0"/>
        <w:tabs>
          <w:tab w:leader="none" w:pos="1860" w:val="left"/>
          <w:tab w:leader="none" w:pos="2800" w:val="left"/>
          <w:tab w:leader="none" w:pos="3740" w:val="left"/>
        </w:tabs>
        <w:rPr>
          <w:sz w:val="20"/>
          <w:szCs w:val="20"/>
          <w:color w:val="auto"/>
        </w:rPr>
      </w:pPr>
      <w:r>
        <w:rPr>
          <w:rFonts w:ascii="Arial" w:cs="Arial" w:eastAsia="Arial" w:hAnsi="Arial"/>
          <w:sz w:val="27"/>
          <w:szCs w:val="27"/>
          <w:b w:val="1"/>
          <w:bCs w:val="1"/>
          <w:color w:val="42516C"/>
          <w:vertAlign w:val="subscript"/>
        </w:rPr>
        <w:t>23%</w:t>
      </w:r>
      <w:r>
        <w:rPr>
          <w:sz w:val="20"/>
          <w:szCs w:val="20"/>
          <w:color w:val="auto"/>
        </w:rPr>
        <w:tab/>
      </w:r>
      <w:r>
        <w:rPr>
          <w:rFonts w:ascii="Arial" w:cs="Arial" w:eastAsia="Arial" w:hAnsi="Arial"/>
          <w:sz w:val="14"/>
          <w:szCs w:val="14"/>
          <w:b w:val="1"/>
          <w:bCs w:val="1"/>
          <w:color w:val="42516C"/>
        </w:rPr>
        <w:t>24%</w:t>
      </w:r>
      <w:r>
        <w:rPr>
          <w:sz w:val="20"/>
          <w:szCs w:val="20"/>
          <w:color w:val="auto"/>
        </w:rPr>
        <w:tab/>
      </w:r>
      <w:r>
        <w:rPr>
          <w:rFonts w:ascii="Arial" w:cs="Arial" w:eastAsia="Arial" w:hAnsi="Arial"/>
          <w:sz w:val="16"/>
          <w:szCs w:val="16"/>
          <w:b w:val="1"/>
          <w:bCs w:val="1"/>
          <w:color w:val="42516C"/>
        </w:rPr>
        <w:t>24%</w:t>
      </w:r>
      <w:r>
        <w:rPr>
          <w:sz w:val="20"/>
          <w:szCs w:val="20"/>
          <w:color w:val="auto"/>
        </w:rPr>
        <w:tab/>
      </w:r>
      <w:r>
        <w:rPr>
          <w:rFonts w:ascii="Arial" w:cs="Arial" w:eastAsia="Arial" w:hAnsi="Arial"/>
          <w:sz w:val="16"/>
          <w:szCs w:val="16"/>
          <w:b w:val="1"/>
          <w:bCs w:val="1"/>
          <w:color w:val="42516C"/>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80"/>
        <w:spacing w:after="0"/>
        <w:tabs>
          <w:tab w:leader="none" w:pos="1800" w:val="left"/>
          <w:tab w:leader="none" w:pos="2700" w:val="left"/>
          <w:tab w:leader="none" w:pos="3620" w:val="left"/>
          <w:tab w:leader="none" w:pos="4580" w:val="left"/>
        </w:tabs>
        <w:rPr>
          <w:sz w:val="20"/>
          <w:szCs w:val="20"/>
          <w:color w:val="auto"/>
        </w:rPr>
      </w:pPr>
      <w:r>
        <w:rPr>
          <w:rFonts w:ascii="Arial" w:cs="Arial" w:eastAsia="Arial" w:hAnsi="Arial"/>
          <w:sz w:val="18"/>
          <w:szCs w:val="18"/>
          <w:b w:val="1"/>
          <w:bCs w:val="1"/>
          <w:color w:val="42516C"/>
        </w:rPr>
        <w:t>2006</w:t>
      </w:r>
      <w:r>
        <w:rPr>
          <w:sz w:val="20"/>
          <w:szCs w:val="20"/>
          <w:color w:val="auto"/>
        </w:rPr>
        <w:tab/>
      </w:r>
      <w:r>
        <w:rPr>
          <w:rFonts w:ascii="Arial" w:cs="Arial" w:eastAsia="Arial" w:hAnsi="Arial"/>
          <w:sz w:val="18"/>
          <w:szCs w:val="18"/>
          <w:b w:val="1"/>
          <w:bCs w:val="1"/>
          <w:color w:val="42516C"/>
        </w:rPr>
        <w:t>2007</w:t>
      </w:r>
      <w:r>
        <w:rPr>
          <w:sz w:val="20"/>
          <w:szCs w:val="20"/>
          <w:color w:val="auto"/>
        </w:rPr>
        <w:tab/>
      </w:r>
      <w:r>
        <w:rPr>
          <w:rFonts w:ascii="Arial" w:cs="Arial" w:eastAsia="Arial" w:hAnsi="Arial"/>
          <w:sz w:val="18"/>
          <w:szCs w:val="18"/>
          <w:b w:val="1"/>
          <w:bCs w:val="1"/>
          <w:color w:val="42516C"/>
        </w:rPr>
        <w:t>2008E</w:t>
      </w:r>
      <w:r>
        <w:rPr>
          <w:sz w:val="20"/>
          <w:szCs w:val="20"/>
          <w:color w:val="auto"/>
        </w:rPr>
        <w:tab/>
      </w:r>
      <w:r>
        <w:rPr>
          <w:rFonts w:ascii="Arial" w:cs="Arial" w:eastAsia="Arial" w:hAnsi="Arial"/>
          <w:sz w:val="18"/>
          <w:szCs w:val="18"/>
          <w:b w:val="1"/>
          <w:bCs w:val="1"/>
          <w:color w:val="42516C"/>
        </w:rPr>
        <w:t>2009E</w:t>
      </w:r>
      <w:r>
        <w:rPr>
          <w:sz w:val="20"/>
          <w:szCs w:val="20"/>
          <w:color w:val="auto"/>
        </w:rPr>
        <w:tab/>
      </w:r>
      <w:r>
        <w:rPr>
          <w:rFonts w:ascii="Arial" w:cs="Arial" w:eastAsia="Arial" w:hAnsi="Arial"/>
          <w:sz w:val="17"/>
          <w:szCs w:val="17"/>
          <w:b w:val="1"/>
          <w:bCs w:val="1"/>
          <w:color w:val="42516C"/>
        </w:rPr>
        <w:t>2010E</w:t>
      </w: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0028"/>
        </w:rPr>
        <w:t>Adjusted EPS</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42516C"/>
        </w:rPr>
        <w:t>$4.05-</w:t>
      </w:r>
    </w:p>
    <w:p>
      <w:pPr>
        <w:spacing w:after="0" w:line="33"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42516C"/>
        </w:rPr>
        <w:t>$4.15</w:t>
      </w:r>
    </w:p>
    <w:p>
      <w:pPr>
        <w:spacing w:after="0" w:line="22"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42516C"/>
        </w:rPr>
        <w:t>$3.15-</w:t>
      </w:r>
    </w:p>
    <w:p>
      <w:pPr>
        <w:ind w:left="2860"/>
        <w:spacing w:after="0" w:line="183" w:lineRule="auto"/>
        <w:tabs>
          <w:tab w:leader="none" w:pos="3760" w:val="left"/>
        </w:tabs>
        <w:rPr>
          <w:sz w:val="20"/>
          <w:szCs w:val="20"/>
          <w:color w:val="auto"/>
        </w:rPr>
      </w:pPr>
      <w:r>
        <w:rPr>
          <w:rFonts w:ascii="Arial" w:cs="Arial" w:eastAsia="Arial" w:hAnsi="Arial"/>
          <w:sz w:val="16"/>
          <w:szCs w:val="16"/>
          <w:b w:val="1"/>
          <w:bCs w:val="1"/>
          <w:color w:val="42516C"/>
        </w:rPr>
        <w:t>$2.85-</w:t>
      </w:r>
      <w:r>
        <w:rPr>
          <w:sz w:val="20"/>
          <w:szCs w:val="20"/>
          <w:color w:val="auto"/>
        </w:rPr>
        <w:tab/>
      </w:r>
      <w:r>
        <w:rPr>
          <w:rFonts w:ascii="Arial" w:cs="Arial" w:eastAsia="Arial" w:hAnsi="Arial"/>
          <w:sz w:val="24"/>
          <w:szCs w:val="24"/>
          <w:b w:val="1"/>
          <w:bCs w:val="1"/>
          <w:color w:val="42516C"/>
          <w:vertAlign w:val="subscript"/>
        </w:rPr>
        <w:t>$3.25</w:t>
      </w:r>
    </w:p>
    <w:p>
      <w:pPr>
        <w:ind w:left="1940"/>
        <w:spacing w:after="0"/>
        <w:tabs>
          <w:tab w:leader="none" w:pos="2860" w:val="left"/>
        </w:tabs>
        <w:rPr>
          <w:sz w:val="20"/>
          <w:szCs w:val="20"/>
          <w:color w:val="auto"/>
        </w:rPr>
      </w:pPr>
      <w:r>
        <w:rPr>
          <w:rFonts w:ascii="Arial" w:cs="Arial" w:eastAsia="Arial" w:hAnsi="Arial"/>
          <w:sz w:val="31"/>
          <w:szCs w:val="31"/>
          <w:b w:val="1"/>
          <w:bCs w:val="1"/>
          <w:color w:val="42516C"/>
          <w:vertAlign w:val="subscript"/>
        </w:rPr>
        <w:t>$2.77</w:t>
      </w:r>
      <w:r>
        <w:rPr>
          <w:sz w:val="20"/>
          <w:szCs w:val="20"/>
          <w:color w:val="auto"/>
        </w:rPr>
        <w:tab/>
      </w:r>
      <w:r>
        <w:rPr>
          <w:rFonts w:ascii="Arial" w:cs="Arial" w:eastAsia="Arial" w:hAnsi="Arial"/>
          <w:sz w:val="16"/>
          <w:szCs w:val="16"/>
          <w:b w:val="1"/>
          <w:bCs w:val="1"/>
          <w:color w:val="42516C"/>
        </w:rPr>
        <w:t>$2.95</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42516C"/>
        </w:rPr>
        <w:t>$2.25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60"/>
        <w:spacing w:after="0"/>
        <w:tabs>
          <w:tab w:leader="none" w:pos="1960" w:val="left"/>
          <w:tab w:leader="none" w:pos="2820" w:val="left"/>
          <w:tab w:leader="none" w:pos="3720" w:val="left"/>
          <w:tab w:leader="none" w:pos="4620" w:val="left"/>
        </w:tabs>
        <w:rPr>
          <w:sz w:val="20"/>
          <w:szCs w:val="20"/>
          <w:color w:val="auto"/>
        </w:rPr>
      </w:pPr>
      <w:r>
        <w:rPr>
          <w:rFonts w:ascii="Arial" w:cs="Arial" w:eastAsia="Arial" w:hAnsi="Arial"/>
          <w:sz w:val="16"/>
          <w:szCs w:val="16"/>
          <w:b w:val="1"/>
          <w:bCs w:val="1"/>
          <w:color w:val="42516C"/>
        </w:rPr>
        <w:t>2006</w:t>
      </w:r>
      <w:r>
        <w:rPr>
          <w:sz w:val="20"/>
          <w:szCs w:val="20"/>
          <w:color w:val="auto"/>
        </w:rPr>
        <w:tab/>
      </w:r>
      <w:r>
        <w:rPr>
          <w:rFonts w:ascii="Arial" w:cs="Arial" w:eastAsia="Arial" w:hAnsi="Arial"/>
          <w:sz w:val="16"/>
          <w:szCs w:val="16"/>
          <w:b w:val="1"/>
          <w:bCs w:val="1"/>
          <w:color w:val="42516C"/>
        </w:rPr>
        <w:t>2007</w:t>
      </w:r>
      <w:r>
        <w:rPr>
          <w:sz w:val="20"/>
          <w:szCs w:val="20"/>
          <w:color w:val="auto"/>
        </w:rPr>
        <w:tab/>
      </w:r>
      <w:r>
        <w:rPr>
          <w:rFonts w:ascii="Arial" w:cs="Arial" w:eastAsia="Arial" w:hAnsi="Arial"/>
          <w:sz w:val="16"/>
          <w:szCs w:val="16"/>
          <w:b w:val="1"/>
          <w:bCs w:val="1"/>
          <w:color w:val="42516C"/>
        </w:rPr>
        <w:t>2008E</w:t>
      </w:r>
      <w:r>
        <w:rPr>
          <w:sz w:val="20"/>
          <w:szCs w:val="20"/>
          <w:color w:val="auto"/>
        </w:rPr>
        <w:tab/>
      </w:r>
      <w:r>
        <w:rPr>
          <w:rFonts w:ascii="Arial" w:cs="Arial" w:eastAsia="Arial" w:hAnsi="Arial"/>
          <w:sz w:val="16"/>
          <w:szCs w:val="16"/>
          <w:b w:val="1"/>
          <w:bCs w:val="1"/>
          <w:color w:val="42516C"/>
        </w:rPr>
        <w:t>2009E</w:t>
      </w:r>
      <w:r>
        <w:rPr>
          <w:sz w:val="20"/>
          <w:szCs w:val="20"/>
          <w:color w:val="auto"/>
        </w:rPr>
        <w:tab/>
      </w:r>
      <w:r>
        <w:rPr>
          <w:rFonts w:ascii="Arial" w:cs="Arial" w:eastAsia="Arial" w:hAnsi="Arial"/>
          <w:sz w:val="16"/>
          <w:szCs w:val="16"/>
          <w:b w:val="1"/>
          <w:bCs w:val="1"/>
          <w:color w:val="42516C"/>
        </w:rPr>
        <w:t>2010E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spacing w:after="0"/>
        <w:rPr>
          <w:sz w:val="20"/>
          <w:szCs w:val="20"/>
          <w:color w:val="auto"/>
        </w:rPr>
      </w:pPr>
      <w:r>
        <w:rPr>
          <w:rFonts w:ascii="Arial" w:cs="Arial" w:eastAsia="Arial" w:hAnsi="Arial"/>
          <w:sz w:val="14"/>
          <w:szCs w:val="14"/>
          <w:color w:val="132647"/>
        </w:rPr>
        <w:t>Note: See appendix for definitions of non-GAAP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32647"/>
        </w:rPr>
        <w:t>OPERATING MARGIN</w:t>
      </w:r>
    </w:p>
    <w:p>
      <w:pPr>
        <w:spacing w:after="0" w:line="174" w:lineRule="exact"/>
        <w:rPr>
          <w:sz w:val="20"/>
          <w:szCs w:val="20"/>
          <w:color w:val="auto"/>
        </w:rPr>
      </w:pPr>
    </w:p>
    <w:p>
      <w:pPr>
        <w:ind w:left="20" w:right="300"/>
        <w:spacing w:after="0" w:line="256" w:lineRule="auto"/>
        <w:rPr>
          <w:sz w:val="20"/>
          <w:szCs w:val="20"/>
          <w:color w:val="auto"/>
        </w:rPr>
      </w:pPr>
      <w:r>
        <w:rPr>
          <w:rFonts w:ascii="Arial" w:cs="Arial" w:eastAsia="Arial" w:hAnsi="Arial"/>
          <w:sz w:val="22"/>
          <w:szCs w:val="22"/>
          <w:color w:val="132647"/>
        </w:rPr>
        <w:t>Revised targets to 24% in 2009 and 27% in 2010</w:t>
      </w:r>
    </w:p>
    <w:p>
      <w:pPr>
        <w:spacing w:after="0" w:line="1" w:lineRule="exact"/>
        <w:rPr>
          <w:sz w:val="20"/>
          <w:szCs w:val="20"/>
          <w:color w:val="auto"/>
        </w:rPr>
      </w:pPr>
    </w:p>
    <w:p>
      <w:pPr>
        <w:ind w:left="20"/>
        <w:spacing w:after="0" w:line="253" w:lineRule="auto"/>
        <w:rPr>
          <w:sz w:val="20"/>
          <w:szCs w:val="20"/>
          <w:color w:val="auto"/>
        </w:rPr>
      </w:pPr>
      <w:r>
        <w:rPr>
          <w:rFonts w:ascii="Arial" w:cs="Arial" w:eastAsia="Arial" w:hAnsi="Arial"/>
          <w:sz w:val="22"/>
          <w:szCs w:val="22"/>
          <w:color w:val="132647"/>
        </w:rPr>
        <w:t>Excluding transaction amortization margins estimated at 25% and 29%, respectively, in 2009 and 2010</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32647"/>
        </w:rPr>
        <w:t>EARNINGS PER SHARE</w:t>
      </w:r>
    </w:p>
    <w:p>
      <w:pPr>
        <w:spacing w:after="0" w:line="174" w:lineRule="exact"/>
        <w:rPr>
          <w:sz w:val="20"/>
          <w:szCs w:val="20"/>
          <w:color w:val="auto"/>
        </w:rPr>
      </w:pPr>
    </w:p>
    <w:p>
      <w:pPr>
        <w:ind w:left="20" w:right="140"/>
        <w:spacing w:after="0" w:line="230" w:lineRule="auto"/>
        <w:rPr>
          <w:sz w:val="20"/>
          <w:szCs w:val="20"/>
          <w:color w:val="auto"/>
        </w:rPr>
      </w:pPr>
      <w:r>
        <w:rPr>
          <w:rFonts w:ascii="Arial" w:cs="Arial" w:eastAsia="Arial" w:hAnsi="Arial"/>
          <w:sz w:val="22"/>
          <w:szCs w:val="22"/>
          <w:color w:val="132647"/>
        </w:rPr>
        <w:t>Revised target for 2009 at $3.15-$3.25 to reflect first year post acquisition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132647"/>
        </w:rPr>
        <w:t>Raised to $4.05-$4.15 for 2010</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132647"/>
        </w:rPr>
        <w:t>CAPITAL MANAGEMENT</w:t>
      </w:r>
    </w:p>
    <w:p>
      <w:pPr>
        <w:spacing w:after="0" w:line="268" w:lineRule="exact"/>
        <w:rPr>
          <w:sz w:val="20"/>
          <w:szCs w:val="20"/>
          <w:color w:val="auto"/>
        </w:rPr>
      </w:pPr>
    </w:p>
    <w:p>
      <w:pPr>
        <w:ind w:left="20" w:right="420"/>
        <w:spacing w:after="0" w:line="226" w:lineRule="auto"/>
        <w:rPr>
          <w:sz w:val="20"/>
          <w:szCs w:val="20"/>
          <w:color w:val="auto"/>
        </w:rPr>
      </w:pPr>
      <w:r>
        <w:rPr>
          <w:rFonts w:ascii="Arial" w:cs="Arial" w:eastAsia="Arial" w:hAnsi="Arial"/>
          <w:sz w:val="22"/>
          <w:szCs w:val="22"/>
          <w:color w:val="132647"/>
        </w:rPr>
        <w:t>Existing $1 billion buyback authorization with $925 million remaining</w:t>
      </w:r>
    </w:p>
    <w:p>
      <w:pPr>
        <w:spacing w:after="0" w:line="2" w:lineRule="exact"/>
        <w:rPr>
          <w:sz w:val="20"/>
          <w:szCs w:val="20"/>
          <w:color w:val="auto"/>
        </w:rPr>
      </w:pPr>
    </w:p>
    <w:p>
      <w:pPr>
        <w:ind w:left="20" w:right="20"/>
        <w:spacing w:after="0" w:line="237" w:lineRule="auto"/>
        <w:rPr>
          <w:sz w:val="20"/>
          <w:szCs w:val="20"/>
          <w:color w:val="auto"/>
        </w:rPr>
      </w:pPr>
      <w:r>
        <w:rPr>
          <w:rFonts w:ascii="Arial" w:cs="Arial" w:eastAsia="Arial" w:hAnsi="Arial"/>
          <w:sz w:val="22"/>
          <w:szCs w:val="22"/>
          <w:color w:val="132647"/>
        </w:rPr>
        <w:t>Anticipate repurchase of majority of shares issued in the transaction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Arial" w:cs="Arial" w:eastAsia="Arial" w:hAnsi="Arial"/>
          <w:sz w:val="22"/>
          <w:szCs w:val="22"/>
          <w:color w:val="132647"/>
        </w:rPr>
        <w:t>19</w:t>
      </w:r>
    </w:p>
    <w:p>
      <w:pPr>
        <w:sectPr>
          <w:pgSz w:w="11900" w:h="16838" w:orient="portrait"/>
          <w:cols w:equalWidth="0" w:num="2">
            <w:col w:w="6260" w:space="720"/>
            <w:col w:w="3420"/>
          </w:cols>
          <w:pgMar w:left="660" w:top="174" w:right="8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51"/>
          <w:szCs w:val="51"/>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North America leadership team</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38"/>
          <w:szCs w:val="38"/>
          <w:b w:val="1"/>
          <w:bCs w:val="1"/>
          <w:color w:val="132647"/>
        </w:rPr>
        <w:t>Office of the Chairman:</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32"/>
          <w:szCs w:val="32"/>
          <w:color w:val="132647"/>
        </w:rPr>
        <w:t>Don Bailey, Chairman and CEO</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32"/>
          <w:szCs w:val="32"/>
          <w:color w:val="132647"/>
        </w:rPr>
        <w:t>Mike Crowley, President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32"/>
          <w:szCs w:val="32"/>
          <w:color w:val="132647"/>
        </w:rPr>
        <w:t>Mell Vaughan, Vice Chairman, Willis Group Holdings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38"/>
          <w:szCs w:val="38"/>
          <w:b w:val="1"/>
          <w:bCs w:val="1"/>
          <w:color w:val="132647"/>
        </w:rPr>
        <w:t>Other key leadership:</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32"/>
          <w:szCs w:val="32"/>
          <w:color w:val="132647"/>
        </w:rPr>
        <w:t>Vic Krauze, COO</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32"/>
          <w:szCs w:val="32"/>
          <w:color w:val="132647"/>
        </w:rPr>
        <w:t>Derek Smyth, CFO</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32"/>
          <w:szCs w:val="32"/>
          <w:color w:val="132647"/>
        </w:rPr>
        <w:t>Joe Gunn, Chief Growth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1216660</wp:posOffset>
            </wp:positionV>
            <wp:extent cx="6302375" cy="320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2375"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20</w:t>
      </w:r>
    </w:p>
    <w:p>
      <w:pPr>
        <w:sectPr>
          <w:pgSz w:w="11900" w:h="16838" w:orient="portrait"/>
          <w:cols w:equalWidth="0" w:num="1">
            <w:col w:w="10380"/>
          </w:cols>
          <w:pgMar w:left="660" w:top="147" w:right="859" w:bottom="1440" w:gutter="0" w:footer="0" w:header="0"/>
        </w:sectPr>
      </w:pPr>
    </w:p>
    <w:bookmarkStart w:id="33" w:name="page34"/>
    <w:bookmarkEnd w:id="33"/>
    <w:p>
      <w:pPr>
        <w:spacing w:after="0"/>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Summary</w:t>
      </w:r>
    </w:p>
    <w:p>
      <w:pPr>
        <w:spacing w:after="0" w:line="200" w:lineRule="exact"/>
        <w:rPr>
          <w:sz w:val="20"/>
          <w:szCs w:val="20"/>
          <w:color w:val="auto"/>
        </w:rPr>
      </w:pPr>
    </w:p>
    <w:p>
      <w:pPr>
        <w:spacing w:after="0" w:line="334" w:lineRule="exact"/>
        <w:rPr>
          <w:sz w:val="20"/>
          <w:szCs w:val="20"/>
          <w:color w:val="auto"/>
        </w:rPr>
      </w:pPr>
    </w:p>
    <w:p>
      <w:pPr>
        <w:ind w:left="940" w:right="1220"/>
        <w:spacing w:after="0" w:line="288" w:lineRule="auto"/>
        <w:rPr>
          <w:sz w:val="20"/>
          <w:szCs w:val="20"/>
          <w:color w:val="auto"/>
        </w:rPr>
      </w:pPr>
      <w:r>
        <w:rPr>
          <w:rFonts w:ascii="Arial" w:cs="Arial" w:eastAsia="Arial" w:hAnsi="Arial"/>
          <w:sz w:val="25"/>
          <w:szCs w:val="25"/>
          <w:b w:val="1"/>
          <w:bCs w:val="1"/>
          <w:color w:val="132647"/>
        </w:rPr>
        <w:t>Will accelerate growth and increase client value through larger, more diversified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-366395</wp:posOffset>
            </wp:positionV>
            <wp:extent cx="6302375" cy="4445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2375" cy="4445000"/>
                    </a:xfrm>
                    <a:prstGeom prst="rect">
                      <a:avLst/>
                    </a:prstGeom>
                    <a:noFill/>
                  </pic:spPr>
                </pic:pic>
              </a:graphicData>
            </a:graphic>
          </wp:anchor>
        </w:drawing>
      </w:r>
    </w:p>
    <w:p>
      <w:pPr>
        <w:spacing w:after="0" w:line="112" w:lineRule="exact"/>
        <w:rPr>
          <w:sz w:val="20"/>
          <w:szCs w:val="20"/>
          <w:color w:val="auto"/>
        </w:rPr>
      </w:pPr>
    </w:p>
    <w:p>
      <w:pPr>
        <w:ind w:left="940" w:right="1260"/>
        <w:spacing w:after="0" w:line="288" w:lineRule="auto"/>
        <w:rPr>
          <w:sz w:val="20"/>
          <w:szCs w:val="20"/>
          <w:color w:val="auto"/>
        </w:rPr>
      </w:pPr>
      <w:r>
        <w:rPr>
          <w:rFonts w:ascii="Arial" w:cs="Arial" w:eastAsia="Arial" w:hAnsi="Arial"/>
          <w:sz w:val="25"/>
          <w:szCs w:val="25"/>
          <w:b w:val="1"/>
          <w:bCs w:val="1"/>
          <w:color w:val="132647"/>
        </w:rPr>
        <w:t>Complementary geographic footprint doubles Willis’ North American revenues</w:t>
      </w:r>
    </w:p>
    <w:p>
      <w:pPr>
        <w:spacing w:after="0" w:line="132" w:lineRule="exact"/>
        <w:rPr>
          <w:sz w:val="20"/>
          <w:szCs w:val="20"/>
          <w:color w:val="auto"/>
        </w:rPr>
      </w:pPr>
    </w:p>
    <w:p>
      <w:pPr>
        <w:ind w:left="940" w:right="860"/>
        <w:spacing w:after="0" w:line="288" w:lineRule="auto"/>
        <w:rPr>
          <w:sz w:val="20"/>
          <w:szCs w:val="20"/>
          <w:color w:val="auto"/>
        </w:rPr>
      </w:pPr>
      <w:r>
        <w:rPr>
          <w:rFonts w:ascii="Arial" w:cs="Arial" w:eastAsia="Arial" w:hAnsi="Arial"/>
          <w:sz w:val="25"/>
          <w:szCs w:val="25"/>
          <w:b w:val="1"/>
          <w:bCs w:val="1"/>
          <w:color w:val="132647"/>
        </w:rPr>
        <w:t>More than doubles Willis’ revenues in targeted North America Employee Benefits business</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132647"/>
        </w:rPr>
        <w:t>Adds depth and breadth to other key practice areas</w:t>
      </w:r>
    </w:p>
    <w:p>
      <w:pPr>
        <w:spacing w:after="0" w:line="241" w:lineRule="exact"/>
        <w:rPr>
          <w:sz w:val="20"/>
          <w:szCs w:val="20"/>
          <w:color w:val="auto"/>
        </w:rPr>
      </w:pPr>
    </w:p>
    <w:p>
      <w:pPr>
        <w:ind w:left="940" w:right="600"/>
        <w:spacing w:after="0" w:line="278" w:lineRule="auto"/>
        <w:rPr>
          <w:sz w:val="20"/>
          <w:szCs w:val="20"/>
          <w:color w:val="auto"/>
        </w:rPr>
      </w:pPr>
      <w:r>
        <w:rPr>
          <w:rFonts w:ascii="Arial" w:cs="Arial" w:eastAsia="Arial" w:hAnsi="Arial"/>
          <w:sz w:val="25"/>
          <w:szCs w:val="25"/>
          <w:b w:val="1"/>
          <w:bCs w:val="1"/>
          <w:color w:val="132647"/>
        </w:rPr>
        <w:t>Strengthens Willis’ middle market leadership and reinforces large account presence</w:t>
      </w:r>
    </w:p>
    <w:p>
      <w:pPr>
        <w:spacing w:after="0" w:line="156" w:lineRule="exact"/>
        <w:rPr>
          <w:sz w:val="20"/>
          <w:szCs w:val="20"/>
          <w:color w:val="auto"/>
        </w:rPr>
      </w:pPr>
    </w:p>
    <w:p>
      <w:pPr>
        <w:ind w:left="940" w:right="360"/>
        <w:spacing w:after="0" w:line="431" w:lineRule="auto"/>
        <w:rPr>
          <w:sz w:val="20"/>
          <w:szCs w:val="20"/>
          <w:color w:val="auto"/>
        </w:rPr>
      </w:pPr>
      <w:r>
        <w:rPr>
          <w:rFonts w:ascii="Arial" w:cs="Arial" w:eastAsia="Arial" w:hAnsi="Arial"/>
          <w:sz w:val="25"/>
          <w:szCs w:val="25"/>
          <w:b w:val="1"/>
          <w:bCs w:val="1"/>
          <w:color w:val="132647"/>
        </w:rPr>
        <w:t>Immediately accretive to Willis Cash EPS; accretive to GAAP EPS from year 2 Attractive valuation; 2.4x 2008E revenue, less than 10x 2008E EBITDA</w:t>
      </w:r>
    </w:p>
    <w:p>
      <w:pPr>
        <w:spacing w:after="0" w:line="1" w:lineRule="exact"/>
        <w:rPr>
          <w:sz w:val="20"/>
          <w:szCs w:val="20"/>
          <w:color w:val="auto"/>
        </w:rPr>
      </w:pPr>
    </w:p>
    <w:p>
      <w:pPr>
        <w:ind w:left="940" w:right="540"/>
        <w:spacing w:after="0" w:line="310" w:lineRule="auto"/>
        <w:rPr>
          <w:sz w:val="20"/>
          <w:szCs w:val="20"/>
          <w:color w:val="auto"/>
        </w:rPr>
      </w:pPr>
      <w:r>
        <w:rPr>
          <w:rFonts w:ascii="Arial" w:cs="Arial" w:eastAsia="Arial" w:hAnsi="Arial"/>
          <w:sz w:val="24"/>
          <w:szCs w:val="24"/>
          <w:b w:val="1"/>
          <w:bCs w:val="1"/>
          <w:color w:val="132647"/>
        </w:rPr>
        <w:t>Anticipated synergies of $100 million, with additional $40 million annualized efficiencies post-integration from the implementation of Shaping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21</w:t>
      </w:r>
    </w:p>
    <w:p>
      <w:pPr>
        <w:sectPr>
          <w:pgSz w:w="11900" w:h="16838" w:orient="portrait"/>
          <w:cols w:equalWidth="0" w:num="1">
            <w:col w:w="10380"/>
          </w:cols>
          <w:pgMar w:left="660" w:top="174" w:right="8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36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536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560"/>
        <w:spacing w:after="0"/>
        <w:rPr>
          <w:sz w:val="20"/>
          <w:szCs w:val="20"/>
          <w:color w:val="auto"/>
        </w:rPr>
      </w:pPr>
      <w:r>
        <w:rPr>
          <w:rFonts w:ascii="Arial" w:cs="Arial" w:eastAsia="Arial" w:hAnsi="Arial"/>
          <w:sz w:val="80"/>
          <w:szCs w:val="80"/>
          <w:b w:val="1"/>
          <w:bCs w:val="1"/>
          <w:color w:val="132647"/>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22</w:t>
      </w:r>
    </w:p>
    <w:p>
      <w:pPr>
        <w:sectPr>
          <w:pgSz w:w="11900" w:h="16838" w:orient="portrait"/>
          <w:cols w:equalWidth="0" w:num="1">
            <w:col w:w="9600"/>
          </w:cols>
          <w:pgMar w:left="1440" w:top="1440" w:right="859" w:bottom="1440" w:gutter="0" w:footer="0" w:header="0"/>
        </w:sectPr>
      </w:pPr>
    </w:p>
    <w:bookmarkStart w:id="35" w:name="page36"/>
    <w:bookmarkEnd w:id="35"/>
    <w:p>
      <w:pPr>
        <w:spacing w:after="0"/>
        <w:rPr>
          <w:sz w:val="20"/>
          <w:szCs w:val="20"/>
          <w:color w:val="auto"/>
        </w:rPr>
      </w:pPr>
      <w:r>
        <w:rPr>
          <w:rFonts w:ascii="Arial" w:cs="Arial" w:eastAsia="Arial" w:hAnsi="Arial"/>
          <w:sz w:val="51"/>
          <w:szCs w:val="51"/>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Important merger information</w:t>
      </w:r>
    </w:p>
    <w:p>
      <w:pPr>
        <w:spacing w:after="0" w:line="200" w:lineRule="exact"/>
        <w:rPr>
          <w:sz w:val="20"/>
          <w:szCs w:val="20"/>
          <w:color w:val="auto"/>
        </w:rPr>
      </w:pPr>
    </w:p>
    <w:p>
      <w:pPr>
        <w:spacing w:after="0" w:line="249" w:lineRule="exact"/>
        <w:rPr>
          <w:sz w:val="20"/>
          <w:szCs w:val="20"/>
          <w:color w:val="auto"/>
        </w:rPr>
      </w:pPr>
    </w:p>
    <w:p>
      <w:pPr>
        <w:ind w:left="300" w:right="160"/>
        <w:spacing w:after="0" w:line="226" w:lineRule="auto"/>
        <w:rPr>
          <w:sz w:val="20"/>
          <w:szCs w:val="20"/>
          <w:color w:val="auto"/>
        </w:rPr>
      </w:pPr>
      <w:r>
        <w:rPr>
          <w:rFonts w:ascii="Arial" w:cs="Arial" w:eastAsia="Arial" w:hAnsi="Arial"/>
          <w:sz w:val="22"/>
          <w:szCs w:val="22"/>
          <w:color w:val="132647"/>
        </w:rPr>
        <w:t>In connection with the proposed transaction, Willis and Hilb Rogal &amp; Hobbs intend to file relevant materials with the Securities and Exchange Commission (“SEC”). Willis will file with the SEC a Registration Statement on Form S-4 that includes a proxy statement of Hilb Rogal &amp; Hobbs that also constitutes a prospectus of Willis. Hilb Rogal &amp; Hobbs will mail the proxy statement/prospect us to its shareholders.Investors are urged to read the proxy statement/prospectus regarding the proposed transaction when it becomes available, because it will contain important information. Investors will be able to obtain a free copy of the proxy statement/prospectus, as well as other filings containinginformation about Willis and Hilb Rogal &amp; Hobbs without charge, at the SEC’s website (http://www.sec.gov) once such documents are filed</w:t>
      </w:r>
    </w:p>
    <w:p>
      <w:pPr>
        <w:spacing w:after="0" w:line="6" w:lineRule="exact"/>
        <w:rPr>
          <w:sz w:val="20"/>
          <w:szCs w:val="20"/>
          <w:color w:val="auto"/>
        </w:rPr>
      </w:pPr>
    </w:p>
    <w:p>
      <w:pPr>
        <w:ind w:left="300" w:right="240"/>
        <w:spacing w:after="0" w:line="225" w:lineRule="auto"/>
        <w:rPr>
          <w:sz w:val="20"/>
          <w:szCs w:val="20"/>
          <w:color w:val="auto"/>
        </w:rPr>
      </w:pPr>
      <w:r>
        <w:rPr>
          <w:rFonts w:ascii="Arial" w:cs="Arial" w:eastAsia="Arial" w:hAnsi="Arial"/>
          <w:sz w:val="22"/>
          <w:szCs w:val="22"/>
          <w:color w:val="132647"/>
        </w:rPr>
        <w:t>with the SEC. You may also obtain these documents, free of charge, from Willis’s website (www.willis.com) under the tab “Investor Relations” and then under the heading “Financial Reporting” then under the item “SEC Filings.” You may also obtain these documents, free of charge, from Hilb Rogal &amp; Hobbs’ website (www.hrh.com) under the heading“Investor Relations” and then under the tab “SEC Filings.”</w:t>
      </w:r>
    </w:p>
    <w:p>
      <w:pPr>
        <w:spacing w:after="0" w:line="1" w:lineRule="exact"/>
        <w:rPr>
          <w:sz w:val="20"/>
          <w:szCs w:val="20"/>
          <w:color w:val="auto"/>
        </w:rPr>
      </w:pPr>
    </w:p>
    <w:p>
      <w:pPr>
        <w:ind w:left="300"/>
        <w:spacing w:after="0" w:line="227" w:lineRule="auto"/>
        <w:rPr>
          <w:sz w:val="20"/>
          <w:szCs w:val="20"/>
          <w:color w:val="auto"/>
        </w:rPr>
      </w:pPr>
      <w:r>
        <w:rPr>
          <w:rFonts w:ascii="Arial" w:cs="Arial" w:eastAsia="Arial" w:hAnsi="Arial"/>
          <w:sz w:val="22"/>
          <w:szCs w:val="22"/>
          <w:color w:val="132647"/>
        </w:rPr>
        <w:t>Willis, Hilb Rogal &amp; Hobbs and their respective directors, executive officers and other employees may be deemed to be participants in the solicitation of proxies from Hilb, Rogal &amp; Hobbs shareholders in connection with the proposed transaction. Information about Willis’s directors and executive officers is available in Willis’s proxy statement, dated March 17, 2008. Information about Hilb Rogal &amp; Hobbs’directors and executive officers is available in Hilb Rogal &amp; Hobbs’proxy statement, dated March 31, 2008. Additional information about the interests of potential participants will be included in the prospectus/proxy statement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72390</wp:posOffset>
            </wp:positionV>
            <wp:extent cx="6302375" cy="320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2375" cy="320675"/>
                    </a:xfrm>
                    <a:prstGeom prst="rect">
                      <a:avLst/>
                    </a:prstGeom>
                    <a:noFill/>
                  </pic:spPr>
                </pic:pic>
              </a:graphicData>
            </a:graphic>
          </wp:anchor>
        </w:drawing>
      </w:r>
    </w:p>
    <w:p>
      <w:pPr>
        <w:spacing w:after="0" w:line="280" w:lineRule="exact"/>
        <w:rPr>
          <w:sz w:val="20"/>
          <w:szCs w:val="20"/>
          <w:color w:val="auto"/>
        </w:rPr>
      </w:pPr>
    </w:p>
    <w:p>
      <w:pPr>
        <w:ind w:left="9600"/>
        <w:spacing w:after="0"/>
        <w:rPr>
          <w:sz w:val="20"/>
          <w:szCs w:val="20"/>
          <w:color w:val="auto"/>
        </w:rPr>
      </w:pPr>
      <w:r>
        <w:rPr>
          <w:rFonts w:ascii="Arial" w:cs="Arial" w:eastAsia="Arial" w:hAnsi="Arial"/>
          <w:sz w:val="22"/>
          <w:szCs w:val="22"/>
          <w:color w:val="132647"/>
        </w:rPr>
        <w:t>23</w:t>
      </w:r>
    </w:p>
    <w:p>
      <w:pPr>
        <w:sectPr>
          <w:pgSz w:w="11900" w:h="16838" w:orient="portrait"/>
          <w:cols w:equalWidth="0" w:num="1">
            <w:col w:w="9960"/>
          </w:cols>
          <w:pgMar w:left="1200" w:top="147" w:right="739" w:bottom="1440" w:gutter="0" w:footer="0" w:header="0"/>
        </w:sectPr>
      </w:pPr>
    </w:p>
    <w:bookmarkStart w:id="36" w:name="page37"/>
    <w:bookmarkEnd w:id="36"/>
    <w:p>
      <w:pPr>
        <w:ind w:left="20" w:right="1640"/>
        <w:spacing w:after="0" w:line="256" w:lineRule="auto"/>
        <w:rPr>
          <w:sz w:val="20"/>
          <w:szCs w:val="20"/>
          <w:color w:val="auto"/>
        </w:rPr>
      </w:pPr>
      <w:r>
        <w:rPr>
          <w:rFonts w:ascii="Arial" w:cs="Arial" w:eastAsia="Arial" w:hAnsi="Arial"/>
          <w:sz w:val="32"/>
          <w:szCs w:val="32"/>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Appendix: Additional cautionary disclosures regarding forward-looking Information</w:t>
      </w:r>
    </w:p>
    <w:p>
      <w:pPr>
        <w:spacing w:after="0" w:line="394" w:lineRule="exact"/>
        <w:rPr>
          <w:sz w:val="20"/>
          <w:szCs w:val="20"/>
          <w:color w:val="auto"/>
        </w:rPr>
      </w:pPr>
    </w:p>
    <w:p>
      <w:pPr>
        <w:spacing w:after="0" w:line="249" w:lineRule="auto"/>
        <w:rPr>
          <w:sz w:val="20"/>
          <w:szCs w:val="20"/>
          <w:color w:val="auto"/>
        </w:rPr>
      </w:pPr>
      <w:r>
        <w:rPr>
          <w:rFonts w:ascii="Arial" w:cs="Arial" w:eastAsia="Arial" w:hAnsi="Arial"/>
          <w:sz w:val="19"/>
          <w:szCs w:val="19"/>
          <w:color w:val="132647"/>
        </w:rPr>
        <w:t>There are important uncertainties, events and factors that could cause our actual results or performance to differ materially from those in the forward-looking statements contained in this document, including regional, national or global political, economic, business, competitive, market and regulatory conditions and the following:</w:t>
      </w:r>
    </w:p>
    <w:p>
      <w:pPr>
        <w:spacing w:after="0" w:line="213" w:lineRule="exact"/>
        <w:rPr>
          <w:sz w:val="20"/>
          <w:szCs w:val="20"/>
          <w:color w:val="auto"/>
        </w:rPr>
      </w:pPr>
    </w:p>
    <w:p>
      <w:pPr>
        <w:ind w:right="100" w:firstLine="5"/>
        <w:spacing w:after="0" w:line="246" w:lineRule="auto"/>
        <w:tabs>
          <w:tab w:leader="none" w:pos="164"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completion of the merger is dependent on, among other things, receipt of shareholders and regulatory approvals, the timing of which cannot be predicted with precision and which may not be received at all,</w:t>
      </w:r>
    </w:p>
    <w:p>
      <w:pPr>
        <w:spacing w:after="0" w:line="1"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8"/>
          <w:szCs w:val="18"/>
          <w:color w:val="132647"/>
        </w:rPr>
      </w:pPr>
      <w:r>
        <w:rPr>
          <w:rFonts w:ascii="Arial" w:cs="Arial" w:eastAsia="Arial" w:hAnsi="Arial"/>
          <w:sz w:val="18"/>
          <w:szCs w:val="18"/>
          <w:color w:val="132647"/>
        </w:rPr>
        <w:t xml:space="preserve">our ability to implement and realize anticipated benefits of the </w:t>
      </w:r>
      <w:r>
        <w:rPr>
          <w:rFonts w:ascii="Arial" w:cs="Arial" w:eastAsia="Arial" w:hAnsi="Arial"/>
          <w:sz w:val="18"/>
          <w:szCs w:val="18"/>
          <w:b w:val="1"/>
          <w:bCs w:val="1"/>
          <w:color w:val="132647"/>
        </w:rPr>
        <w:t>Shaping our Future</w:t>
      </w:r>
      <w:r>
        <w:rPr>
          <w:rFonts w:ascii="Arial" w:cs="Arial" w:eastAsia="Arial" w:hAnsi="Arial"/>
          <w:sz w:val="18"/>
          <w:szCs w:val="18"/>
          <w:color w:val="132647"/>
        </w:rPr>
        <w:t xml:space="preserve"> initiative and other new initiatives,</w:t>
      </w:r>
    </w:p>
    <w:p>
      <w:pPr>
        <w:spacing w:after="0" w:line="25" w:lineRule="exact"/>
        <w:rPr>
          <w:rFonts w:ascii="Arial" w:cs="Arial" w:eastAsia="Arial" w:hAnsi="Arial"/>
          <w:sz w:val="18"/>
          <w:szCs w:val="18"/>
          <w:color w:val="132647"/>
        </w:rPr>
      </w:pPr>
    </w:p>
    <w:p>
      <w:pPr>
        <w:ind w:left="160" w:hanging="155"/>
        <w:spacing w:after="0"/>
        <w:tabs>
          <w:tab w:leader="none" w:pos="160" w:val="left"/>
        </w:tabs>
        <w:numPr>
          <w:ilvl w:val="0"/>
          <w:numId w:val="13"/>
        </w:numPr>
        <w:rPr>
          <w:rFonts w:ascii="Arial" w:cs="Arial" w:eastAsia="Arial" w:hAnsi="Arial"/>
          <w:sz w:val="18"/>
          <w:szCs w:val="18"/>
          <w:color w:val="132647"/>
        </w:rPr>
      </w:pPr>
      <w:r>
        <w:rPr>
          <w:rFonts w:ascii="Arial" w:cs="Arial" w:eastAsia="Arial" w:hAnsi="Arial"/>
          <w:sz w:val="18"/>
          <w:szCs w:val="18"/>
          <w:color w:val="132647"/>
        </w:rPr>
        <w:t>the extent and timing of, and prices paid in connection with, any share repurchases under existing or future programs,</w:t>
      </w:r>
    </w:p>
    <w:p>
      <w:pPr>
        <w:spacing w:after="0" w:line="16" w:lineRule="exact"/>
        <w:rPr>
          <w:rFonts w:ascii="Arial" w:cs="Arial" w:eastAsia="Arial" w:hAnsi="Arial"/>
          <w:sz w:val="18"/>
          <w:szCs w:val="18"/>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increases in client retentions,</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our ability to retain existing clients and attract new business, and our ability to retain key employees,</w:t>
      </w:r>
    </w:p>
    <w:p>
      <w:pPr>
        <w:spacing w:after="0" w:line="4" w:lineRule="exact"/>
        <w:rPr>
          <w:rFonts w:ascii="Arial" w:cs="Arial" w:eastAsia="Arial" w:hAnsi="Arial"/>
          <w:sz w:val="19"/>
          <w:szCs w:val="19"/>
          <w:color w:val="132647"/>
        </w:rPr>
      </w:pPr>
    </w:p>
    <w:p>
      <w:pPr>
        <w:ind w:right="60" w:firstLine="5"/>
        <w:spacing w:after="0" w:line="251" w:lineRule="auto"/>
        <w:tabs>
          <w:tab w:leader="none" w:pos="164"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changes in commercial property and casualty markets, or changes in premiums and availability of insurance products due to a catastrophic event such as a hurricane,</w:t>
      </w:r>
    </w:p>
    <w:p>
      <w:pPr>
        <w:spacing w:after="0" w:line="1" w:lineRule="exact"/>
        <w:rPr>
          <w:rFonts w:ascii="Arial" w:cs="Arial" w:eastAsia="Arial" w:hAnsi="Arial"/>
          <w:sz w:val="19"/>
          <w:szCs w:val="19"/>
          <w:color w:val="132647"/>
        </w:rPr>
      </w:pPr>
    </w:p>
    <w:p>
      <w:pPr>
        <w:ind w:left="180" w:hanging="175"/>
        <w:spacing w:after="0"/>
        <w:tabs>
          <w:tab w:leader="none" w:pos="18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volatility or declines in other insurance markets and the premiums on which our commissions are based,</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impact of competition,</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the timing or ability to carry out share repurchases or take other steps to manage our capital,</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fluctuations in exchange and interest rates that could affect expenses and revenue,</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rating agency actions that could inhibit ability to borrow funds or the pricing thereof,</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legislative and regulatory changes affecting both our ability to operate and client demand,</w:t>
      </w:r>
    </w:p>
    <w:p>
      <w:pPr>
        <w:spacing w:after="0" w:line="16" w:lineRule="exact"/>
        <w:rPr>
          <w:rFonts w:ascii="Arial" w:cs="Arial" w:eastAsia="Arial" w:hAnsi="Arial"/>
          <w:sz w:val="19"/>
          <w:szCs w:val="19"/>
          <w:color w:val="132647"/>
        </w:rPr>
      </w:pPr>
    </w:p>
    <w:p>
      <w:pPr>
        <w:ind w:right="80" w:firstLine="5"/>
        <w:spacing w:after="0" w:line="245" w:lineRule="auto"/>
        <w:tabs>
          <w:tab w:leader="none" w:pos="164"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potential costs and difficulties in complying with a wide variety of foreign laws and regulations, given the global scope of our operations,</w:t>
      </w: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changes in the tax or accounting treatment of our operations,</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our exposure to potential liabilities arising from errors and omissions claims against us,</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the results of regulatory investigations, legal proceedings and other contingencies, and</w:t>
      </w:r>
    </w:p>
    <w:p>
      <w:pPr>
        <w:spacing w:after="0" w:line="4" w:lineRule="exact"/>
        <w:rPr>
          <w:rFonts w:ascii="Arial" w:cs="Arial" w:eastAsia="Arial" w:hAnsi="Arial"/>
          <w:sz w:val="19"/>
          <w:szCs w:val="19"/>
          <w:color w:val="132647"/>
        </w:rPr>
      </w:pPr>
    </w:p>
    <w:p>
      <w:pPr>
        <w:ind w:left="160" w:hanging="155"/>
        <w:spacing w:after="0"/>
        <w:tabs>
          <w:tab w:leader="none" w:pos="160" w:val="left"/>
        </w:tabs>
        <w:numPr>
          <w:ilvl w:val="0"/>
          <w:numId w:val="13"/>
        </w:numPr>
        <w:rPr>
          <w:rFonts w:ascii="Arial" w:cs="Arial" w:eastAsia="Arial" w:hAnsi="Arial"/>
          <w:sz w:val="19"/>
          <w:szCs w:val="19"/>
          <w:color w:val="132647"/>
        </w:rPr>
      </w:pPr>
      <w:r>
        <w:rPr>
          <w:rFonts w:ascii="Arial" w:cs="Arial" w:eastAsia="Arial" w:hAnsi="Arial"/>
          <w:sz w:val="19"/>
          <w:szCs w:val="19"/>
          <w:color w:val="132647"/>
        </w:rPr>
        <w:t>the timing of any exercise of put and call arrangements with Associated companies.</w:t>
      </w:r>
    </w:p>
    <w:p>
      <w:pPr>
        <w:spacing w:after="0" w:line="240" w:lineRule="exact"/>
        <w:rPr>
          <w:sz w:val="20"/>
          <w:szCs w:val="20"/>
          <w:color w:val="auto"/>
        </w:rPr>
      </w:pPr>
    </w:p>
    <w:p>
      <w:pPr>
        <w:ind w:right="540"/>
        <w:spacing w:after="0" w:line="249" w:lineRule="auto"/>
        <w:rPr>
          <w:sz w:val="20"/>
          <w:szCs w:val="20"/>
          <w:color w:val="auto"/>
        </w:rPr>
      </w:pPr>
      <w:r>
        <w:rPr>
          <w:rFonts w:ascii="Arial" w:cs="Arial" w:eastAsia="Arial" w:hAnsi="Arial"/>
          <w:sz w:val="19"/>
          <w:szCs w:val="19"/>
          <w:color w:val="132647"/>
        </w:rPr>
        <w:t>The foregoing list of factors is not exhaustive and new factors may emerge from time to time that could also affect actual performance and results. See also the Risk Factors section of our Annual Report on Form 10-K filed on February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12065</wp:posOffset>
            </wp:positionV>
            <wp:extent cx="6302375" cy="320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2375" cy="320675"/>
                    </a:xfrm>
                    <a:prstGeom prst="rect">
                      <a:avLst/>
                    </a:prstGeom>
                    <a:noFill/>
                  </pic:spPr>
                </pic:pic>
              </a:graphicData>
            </a:graphic>
          </wp:anchor>
        </w:drawing>
      </w:r>
    </w:p>
    <w:p>
      <w:pPr>
        <w:spacing w:after="0" w:line="184" w:lineRule="exact"/>
        <w:rPr>
          <w:sz w:val="20"/>
          <w:szCs w:val="20"/>
          <w:color w:val="auto"/>
        </w:rPr>
      </w:pPr>
    </w:p>
    <w:p>
      <w:pPr>
        <w:ind w:left="9620"/>
        <w:spacing w:after="0"/>
        <w:rPr>
          <w:sz w:val="20"/>
          <w:szCs w:val="20"/>
          <w:color w:val="auto"/>
        </w:rPr>
      </w:pPr>
      <w:r>
        <w:rPr>
          <w:rFonts w:ascii="Arial" w:cs="Arial" w:eastAsia="Arial" w:hAnsi="Arial"/>
          <w:sz w:val="22"/>
          <w:szCs w:val="22"/>
          <w:color w:val="132647"/>
        </w:rPr>
        <w:t>24</w:t>
      </w:r>
    </w:p>
    <w:p>
      <w:pPr>
        <w:sectPr>
          <w:pgSz w:w="11900" w:h="16838" w:orient="portrait"/>
          <w:cols w:equalWidth="0" w:num="1">
            <w:col w:w="9960"/>
          </w:cols>
          <w:pgMar w:left="1180" w:top="224" w:right="759" w:bottom="1440" w:gutter="0" w:footer="0" w:header="0"/>
        </w:sectPr>
      </w:pPr>
    </w:p>
    <w:bookmarkStart w:id="37" w:name="page38"/>
    <w:bookmarkEnd w:id="37"/>
    <w:p>
      <w:pPr>
        <w:ind w:left="160" w:right="2500"/>
        <w:spacing w:after="0" w:line="268" w:lineRule="auto"/>
        <w:rPr>
          <w:sz w:val="20"/>
          <w:szCs w:val="20"/>
          <w:color w:val="auto"/>
        </w:rPr>
      </w:pPr>
      <w:r>
        <w:rPr>
          <w:rFonts w:ascii="Arial" w:cs="Arial" w:eastAsia="Arial" w:hAnsi="Arial"/>
          <w:sz w:val="43"/>
          <w:szCs w:val="43"/>
          <w:b w:val="1"/>
          <w:bCs w:val="1"/>
          <w:color w:val="132647"/>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Appendix: Definitions of non-GAAP measures</w:t>
      </w:r>
    </w:p>
    <w:p>
      <w:pPr>
        <w:spacing w:after="0" w:line="301" w:lineRule="exact"/>
        <w:rPr>
          <w:sz w:val="20"/>
          <w:szCs w:val="20"/>
          <w:color w:val="auto"/>
        </w:rPr>
      </w:pPr>
    </w:p>
    <w:p>
      <w:pPr>
        <w:ind w:left="420" w:right="1080" w:hanging="422"/>
        <w:spacing w:after="0" w:line="262" w:lineRule="auto"/>
        <w:rPr>
          <w:sz w:val="20"/>
          <w:szCs w:val="20"/>
          <w:color w:val="auto"/>
        </w:rPr>
      </w:pPr>
      <w:r>
        <w:rPr>
          <w:rFonts w:ascii="Arial" w:cs="Arial" w:eastAsia="Arial" w:hAnsi="Arial"/>
          <w:sz w:val="18"/>
          <w:szCs w:val="18"/>
          <w:b w:val="1"/>
          <w:bCs w:val="1"/>
          <w:color w:val="132647"/>
        </w:rPr>
        <w:t xml:space="preserve">Adjusted earnings before interest, tax, depreciation and amortization(adjusted EBITDA) </w:t>
      </w:r>
      <w:r>
        <w:rPr>
          <w:rFonts w:ascii="Arial" w:cs="Arial" w:eastAsia="Arial" w:hAnsi="Arial"/>
          <w:sz w:val="18"/>
          <w:szCs w:val="18"/>
          <w:color w:val="132647"/>
        </w:rPr>
        <w:t>is adjusted operating</w:t>
      </w:r>
      <w:r>
        <w:rPr>
          <w:rFonts w:ascii="Arial" w:cs="Arial" w:eastAsia="Arial" w:hAnsi="Arial"/>
          <w:sz w:val="18"/>
          <w:szCs w:val="18"/>
          <w:b w:val="1"/>
          <w:bCs w:val="1"/>
          <w:color w:val="132647"/>
        </w:rPr>
        <w:t xml:space="preserve"> </w:t>
      </w:r>
      <w:r>
        <w:rPr>
          <w:rFonts w:ascii="Arial" w:cs="Arial" w:eastAsia="Arial" w:hAnsi="Arial"/>
          <w:sz w:val="18"/>
          <w:szCs w:val="18"/>
          <w:color w:val="132647"/>
        </w:rPr>
        <w:t>income as defined below, before depreciation and amortization.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132647"/>
        </w:rPr>
        <w:t xml:space="preserve">Adjusted earnings per share (AdjustedEPS) </w:t>
      </w:r>
      <w:r>
        <w:rPr>
          <w:rFonts w:ascii="Arial" w:cs="Arial" w:eastAsia="Arial" w:hAnsi="Arial"/>
          <w:sz w:val="18"/>
          <w:szCs w:val="18"/>
          <w:color w:val="132647"/>
        </w:rPr>
        <w:t>is definedas adjusted net income per dilutedshare.</w:t>
      </w:r>
    </w:p>
    <w:p>
      <w:pPr>
        <w:spacing w:after="0" w:line="200" w:lineRule="exact"/>
        <w:rPr>
          <w:sz w:val="20"/>
          <w:szCs w:val="20"/>
          <w:color w:val="auto"/>
        </w:rPr>
      </w:pPr>
    </w:p>
    <w:p>
      <w:pPr>
        <w:spacing w:after="0" w:line="263" w:lineRule="exact"/>
        <w:rPr>
          <w:sz w:val="20"/>
          <w:szCs w:val="20"/>
          <w:color w:val="auto"/>
        </w:rPr>
      </w:pPr>
    </w:p>
    <w:p>
      <w:pPr>
        <w:ind w:left="420" w:right="640" w:hanging="422"/>
        <w:spacing w:after="0" w:line="270" w:lineRule="auto"/>
        <w:rPr>
          <w:sz w:val="20"/>
          <w:szCs w:val="20"/>
          <w:color w:val="auto"/>
        </w:rPr>
      </w:pPr>
      <w:r>
        <w:rPr>
          <w:rFonts w:ascii="Arial" w:cs="Arial" w:eastAsia="Arial" w:hAnsi="Arial"/>
          <w:sz w:val="17"/>
          <w:szCs w:val="17"/>
          <w:b w:val="1"/>
          <w:bCs w:val="1"/>
          <w:color w:val="132647"/>
        </w:rPr>
        <w:t xml:space="preserve">Adjusted net income </w:t>
      </w:r>
      <w:r>
        <w:rPr>
          <w:rFonts w:ascii="Arial" w:cs="Arial" w:eastAsia="Arial" w:hAnsi="Arial"/>
          <w:sz w:val="17"/>
          <w:szCs w:val="17"/>
          <w:color w:val="132647"/>
        </w:rPr>
        <w:t>is definedas net income excludingnet gains/losses on disposal of operations. For 2006, excludes</w:t>
      </w:r>
      <w:r>
        <w:rPr>
          <w:rFonts w:ascii="Arial" w:cs="Arial" w:eastAsia="Arial" w:hAnsi="Arial"/>
          <w:sz w:val="17"/>
          <w:szCs w:val="17"/>
          <w:b w:val="1"/>
          <w:bCs w:val="1"/>
          <w:color w:val="132647"/>
        </w:rPr>
        <w:t xml:space="preserve"> </w:t>
      </w:r>
      <w:r>
        <w:rPr>
          <w:rFonts w:ascii="Arial" w:cs="Arial" w:eastAsia="Arial" w:hAnsi="Arial"/>
          <w:sz w:val="17"/>
          <w:szCs w:val="17"/>
          <w:color w:val="132647"/>
        </w:rPr>
        <w:t>gain on disposal of London headquarters net of leaseback costs of $92 million, $25 million of severance costs, $41 million strategic initiative expenditure and a one off $71 tax credit. For 2005, excludes charges for regulatory settlements and related expenses of $36 million, other provisions of $14 million and severance costs of $19 million.</w:t>
      </w:r>
    </w:p>
    <w:p>
      <w:pPr>
        <w:spacing w:after="0" w:line="200" w:lineRule="exact"/>
        <w:rPr>
          <w:sz w:val="20"/>
          <w:szCs w:val="20"/>
          <w:color w:val="auto"/>
        </w:rPr>
      </w:pPr>
    </w:p>
    <w:p>
      <w:pPr>
        <w:spacing w:after="0" w:line="212" w:lineRule="exact"/>
        <w:rPr>
          <w:sz w:val="20"/>
          <w:szCs w:val="20"/>
          <w:color w:val="auto"/>
        </w:rPr>
      </w:pPr>
    </w:p>
    <w:p>
      <w:pPr>
        <w:ind w:left="420" w:right="680" w:hanging="422"/>
        <w:spacing w:after="0" w:line="246" w:lineRule="auto"/>
        <w:rPr>
          <w:sz w:val="20"/>
          <w:szCs w:val="20"/>
          <w:color w:val="auto"/>
        </w:rPr>
      </w:pPr>
      <w:r>
        <w:rPr>
          <w:rFonts w:ascii="Arial" w:cs="Arial" w:eastAsia="Arial" w:hAnsi="Arial"/>
          <w:sz w:val="18"/>
          <w:szCs w:val="18"/>
          <w:b w:val="1"/>
          <w:bCs w:val="1"/>
          <w:color w:val="132647"/>
        </w:rPr>
        <w:t xml:space="preserve">Adjusted operating income </w:t>
      </w:r>
      <w:r>
        <w:rPr>
          <w:rFonts w:ascii="Arial" w:cs="Arial" w:eastAsia="Arial" w:hAnsi="Arial"/>
          <w:sz w:val="18"/>
          <w:szCs w:val="18"/>
          <w:color w:val="132647"/>
        </w:rPr>
        <w:t>is definedas operatingincome excludinggains/losses on disposals. For 2006, excludes gain</w:t>
      </w:r>
      <w:r>
        <w:rPr>
          <w:rFonts w:ascii="Arial" w:cs="Arial" w:eastAsia="Arial" w:hAnsi="Arial"/>
          <w:sz w:val="18"/>
          <w:szCs w:val="18"/>
          <w:b w:val="1"/>
          <w:bCs w:val="1"/>
          <w:color w:val="132647"/>
        </w:rPr>
        <w:t xml:space="preserve"> </w:t>
      </w:r>
      <w:r>
        <w:rPr>
          <w:rFonts w:ascii="Arial" w:cs="Arial" w:eastAsia="Arial" w:hAnsi="Arial"/>
          <w:sz w:val="18"/>
          <w:szCs w:val="18"/>
          <w:color w:val="132647"/>
        </w:rPr>
        <w:t>on disposal of London headquarters net of leaseback costs of $99million, $35 million of severance costs and $59 million strategic initiative expenditure. For 2005 excludes charges for regulatory settlements and related legal and administrative expenses of $60 million, $20 million additional charge to increase legal provisions and $28 million of severance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132647"/>
        </w:rPr>
        <w:t xml:space="preserve">Adjusted operating margin </w:t>
      </w:r>
      <w:r>
        <w:rPr>
          <w:rFonts w:ascii="Arial" w:cs="Arial" w:eastAsia="Arial" w:hAnsi="Arial"/>
          <w:sz w:val="18"/>
          <w:szCs w:val="18"/>
          <w:color w:val="132647"/>
        </w:rPr>
        <w:t>is definedas adjusted operating income to total revenues.</w:t>
      </w:r>
    </w:p>
    <w:p>
      <w:pPr>
        <w:spacing w:after="0" w:line="310" w:lineRule="exact"/>
        <w:rPr>
          <w:sz w:val="20"/>
          <w:szCs w:val="20"/>
          <w:color w:val="auto"/>
        </w:rPr>
      </w:pPr>
    </w:p>
    <w:p>
      <w:pPr>
        <w:ind w:left="420" w:right="1180" w:hanging="422"/>
        <w:spacing w:after="0" w:line="248" w:lineRule="auto"/>
        <w:rPr>
          <w:sz w:val="20"/>
          <w:szCs w:val="20"/>
          <w:color w:val="auto"/>
        </w:rPr>
      </w:pPr>
      <w:r>
        <w:rPr>
          <w:rFonts w:ascii="Arial" w:cs="Arial" w:eastAsia="Arial" w:hAnsi="Arial"/>
          <w:sz w:val="18"/>
          <w:szCs w:val="18"/>
          <w:b w:val="1"/>
          <w:bCs w:val="1"/>
          <w:color w:val="132647"/>
        </w:rPr>
        <w:t xml:space="preserve">Cash flow </w:t>
      </w:r>
      <w:r>
        <w:rPr>
          <w:rFonts w:ascii="Arial" w:cs="Arial" w:eastAsia="Arial" w:hAnsi="Arial"/>
          <w:sz w:val="18"/>
          <w:szCs w:val="18"/>
          <w:color w:val="132647"/>
        </w:rPr>
        <w:t>is defined as cash flow from operating and investing activities excluding acquisitions and disposals and</w:t>
      </w:r>
      <w:r>
        <w:rPr>
          <w:rFonts w:ascii="Arial" w:cs="Arial" w:eastAsia="Arial" w:hAnsi="Arial"/>
          <w:sz w:val="18"/>
          <w:szCs w:val="18"/>
          <w:b w:val="1"/>
          <w:bCs w:val="1"/>
          <w:color w:val="132647"/>
        </w:rPr>
        <w:t xml:space="preserve"> </w:t>
      </w:r>
      <w:r>
        <w:rPr>
          <w:rFonts w:ascii="Arial" w:cs="Arial" w:eastAsia="Arial" w:hAnsi="Arial"/>
          <w:sz w:val="18"/>
          <w:szCs w:val="18"/>
          <w:color w:val="132647"/>
        </w:rPr>
        <w:t>additional pension contributions.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132647"/>
        </w:rPr>
        <w:t xml:space="preserve">Funds from operations </w:t>
      </w:r>
      <w:r>
        <w:rPr>
          <w:rFonts w:ascii="Arial" w:cs="Arial" w:eastAsia="Arial" w:hAnsi="Arial"/>
          <w:sz w:val="18"/>
          <w:szCs w:val="18"/>
          <w:color w:val="132647"/>
        </w:rPr>
        <w:t>is adjusted net income as defined, before depreciation and amortization.</w:t>
      </w:r>
    </w:p>
    <w:p>
      <w:pPr>
        <w:spacing w:after="0" w:line="169" w:lineRule="exact"/>
        <w:rPr>
          <w:sz w:val="20"/>
          <w:szCs w:val="20"/>
          <w:color w:val="auto"/>
        </w:rPr>
      </w:pPr>
    </w:p>
    <w:p>
      <w:pPr>
        <w:ind w:left="420" w:right="720" w:hanging="422"/>
        <w:spacing w:after="0" w:line="248" w:lineRule="auto"/>
        <w:rPr>
          <w:sz w:val="20"/>
          <w:szCs w:val="20"/>
          <w:color w:val="auto"/>
        </w:rPr>
      </w:pPr>
      <w:r>
        <w:rPr>
          <w:rFonts w:ascii="Arial" w:cs="Arial" w:eastAsia="Arial" w:hAnsi="Arial"/>
          <w:sz w:val="18"/>
          <w:szCs w:val="18"/>
          <w:b w:val="1"/>
          <w:bCs w:val="1"/>
          <w:color w:val="132647"/>
        </w:rPr>
        <w:t xml:space="preserve">Enterprise value </w:t>
      </w:r>
      <w:r>
        <w:rPr>
          <w:rFonts w:ascii="Arial" w:cs="Arial" w:eastAsia="Arial" w:hAnsi="Arial"/>
          <w:sz w:val="18"/>
          <w:szCs w:val="18"/>
          <w:color w:val="132647"/>
        </w:rPr>
        <w:t>= current market capitalization + debt as of most recent quarter - non-fiduciary cash as of most recent</w:t>
      </w:r>
      <w:r>
        <w:rPr>
          <w:rFonts w:ascii="Arial" w:cs="Arial" w:eastAsia="Arial" w:hAnsi="Arial"/>
          <w:sz w:val="18"/>
          <w:szCs w:val="18"/>
          <w:b w:val="1"/>
          <w:bCs w:val="1"/>
          <w:color w:val="132647"/>
        </w:rPr>
        <w:t xml:space="preserve"> </w:t>
      </w:r>
      <w:r>
        <w:rPr>
          <w:rFonts w:ascii="Arial" w:cs="Arial" w:eastAsia="Arial" w:hAnsi="Arial"/>
          <w:sz w:val="18"/>
          <w:szCs w:val="18"/>
          <w:color w:val="132647"/>
        </w:rPr>
        <w:t>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268605</wp:posOffset>
            </wp:positionV>
            <wp:extent cx="6302375" cy="320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2375" cy="3206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132647"/>
        </w:rPr>
        <w:t>25</w:t>
      </w:r>
    </w:p>
    <w:p>
      <w:pPr>
        <w:sectPr>
          <w:pgSz w:w="11900" w:h="16838" w:orient="portrait"/>
          <w:cols w:equalWidth="0" w:num="1">
            <w:col w:w="10000"/>
          </w:cols>
          <w:pgMar w:left="1040" w:top="174" w:right="8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59"/>
          <w:szCs w:val="59"/>
          <w:color w:val="132647"/>
        </w:rPr>
        <w:t>WILLIS GROUP HOLDINGS</w:t>
      </w:r>
    </w:p>
    <w:p>
      <w:pPr>
        <w:sectPr>
          <w:pgSz w:w="11900" w:h="16838" w:orient="portrait"/>
          <w:cols w:equalWidth="0" w:num="1">
            <w:col w:w="9779"/>
          </w:cols>
          <w:pgMar w:left="680" w:top="144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color w:val="auto"/>
        </w:rPr>
        <w:t>Exhibit 99.3</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Joe Plumeri Message About HRH – for willis.com</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June 8, 2008</w:t>
      </w:r>
    </w:p>
    <w:p>
      <w:pPr>
        <w:spacing w:after="0" w:line="86"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 xml:space="preserve">Hello, everybody! I’m thrilled to be talking to you about an agreement we’ve announced to combine our company with Hilb Rogal &amp; Hobbs, one of the world’s largest insurance and risk management companies. This is truly a major step toward making Willis </w:t>
      </w:r>
      <w:r>
        <w:rPr>
          <w:rFonts w:ascii="Arial" w:cs="Arial" w:eastAsia="Arial" w:hAnsi="Arial"/>
          <w:sz w:val="15"/>
          <w:szCs w:val="15"/>
          <w:u w:val="single" w:color="auto"/>
          <w:color w:val="auto"/>
        </w:rPr>
        <w:t>the</w:t>
      </w:r>
      <w:r>
        <w:rPr>
          <w:rFonts w:ascii="Arial" w:cs="Arial" w:eastAsia="Arial" w:hAnsi="Arial"/>
          <w:sz w:val="15"/>
          <w:szCs w:val="15"/>
          <w:color w:val="auto"/>
        </w:rPr>
        <w:t xml:space="preserve"> best insurance brokerage company in the world and it’s a unique opportunity to serve more clients, in more markets, with a more diverse array of services.</w:t>
      </w:r>
    </w:p>
    <w:p>
      <w:pPr>
        <w:spacing w:after="0" w:line="110"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Willis and HRH share the same passion for excellence and there’s no limit to what we can accomplish together. So let me tell you some of the reasons why we think this combination makes such terrific sense for our clients, shareholders and Associates. Willis has global reach and expertise. HRH brings added talent and local market presence in the United States. By combining with HRH, we’re bringing together the best of both worlds to serve our clients even better. All that should translate into significant added value for our clients and real growth for our business.</w:t>
      </w:r>
    </w:p>
    <w:p>
      <w:pPr>
        <w:spacing w:after="0" w:line="114"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This will truly transform our business in North America. Our North America revenues will double and we’ll become an even stronger player in many very attractive markets. We’ll strengthen our lead as a middle market broker and reinforce our large account presence. We’ll boost our position in several important places including California, Florida, Texas, Illinois, New Jersey, New York, Boston and Philadelphia.</w:t>
      </w:r>
    </w:p>
    <w:p>
      <w:pPr>
        <w:spacing w:after="0" w:line="110"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We’ll more than double the revenues of our Employee Benefits business—a strong area of expertise that we’ve already targeted for growth. And we’ll add to our capabilities in other key practice areas such as personal lines, real estate, health care, environmental, construction, complex property and executive risks.</w:t>
      </w:r>
    </w:p>
    <w:p>
      <w:pPr>
        <w:spacing w:after="0" w:line="99" w:lineRule="exact"/>
        <w:rPr>
          <w:sz w:val="20"/>
          <w:szCs w:val="20"/>
          <w:color w:val="auto"/>
        </w:rPr>
      </w:pPr>
    </w:p>
    <w:p>
      <w:pPr>
        <w:ind w:right="600"/>
        <w:spacing w:after="0" w:line="291" w:lineRule="auto"/>
        <w:rPr>
          <w:sz w:val="20"/>
          <w:szCs w:val="20"/>
          <w:color w:val="auto"/>
        </w:rPr>
      </w:pPr>
      <w:r>
        <w:rPr>
          <w:rFonts w:ascii="Arial" w:cs="Arial" w:eastAsia="Arial" w:hAnsi="Arial"/>
          <w:sz w:val="15"/>
          <w:szCs w:val="15"/>
          <w:color w:val="auto"/>
        </w:rPr>
        <w:t xml:space="preserve">We’re proud of our </w:t>
      </w:r>
      <w:r>
        <w:rPr>
          <w:rFonts w:ascii="Arial" w:cs="Arial" w:eastAsia="Arial" w:hAnsi="Arial"/>
          <w:sz w:val="15"/>
          <w:szCs w:val="15"/>
          <w:b w:val="1"/>
          <w:bCs w:val="1"/>
          <w:i w:val="1"/>
          <w:iCs w:val="1"/>
          <w:color w:val="auto"/>
        </w:rPr>
        <w:t>Glocal</w:t>
      </w:r>
      <w:r>
        <w:rPr>
          <w:rFonts w:ascii="Arial" w:cs="Arial" w:eastAsia="Arial" w:hAnsi="Arial"/>
          <w:sz w:val="15"/>
          <w:szCs w:val="15"/>
          <w:color w:val="auto"/>
        </w:rPr>
        <w:t xml:space="preserve"> approach—delivering global resources and expertise to serve clients locally. That’s going to be all the more meaningful with HRH and—thanks to our integrated </w:t>
      </w:r>
      <w:r>
        <w:rPr>
          <w:rFonts w:ascii="Arial" w:cs="Arial" w:eastAsia="Arial" w:hAnsi="Arial"/>
          <w:sz w:val="15"/>
          <w:szCs w:val="15"/>
          <w:b w:val="1"/>
          <w:bCs w:val="1"/>
          <w:i w:val="1"/>
          <w:iCs w:val="1"/>
          <w:color w:val="auto"/>
        </w:rPr>
        <w:t>One Flag</w:t>
      </w:r>
      <w:r>
        <w:rPr>
          <w:rFonts w:ascii="Arial" w:cs="Arial" w:eastAsia="Arial" w:hAnsi="Arial"/>
          <w:sz w:val="15"/>
          <w:szCs w:val="15"/>
          <w:color w:val="auto"/>
        </w:rPr>
        <w:t xml:space="preserve"> approach—we’ll have one of the strongest global franchises in our industry.</w:t>
      </w:r>
    </w:p>
    <w:p>
      <w:pPr>
        <w:spacing w:after="0" w:line="99" w:lineRule="exact"/>
        <w:rPr>
          <w:sz w:val="20"/>
          <w:szCs w:val="20"/>
          <w:color w:val="auto"/>
        </w:rPr>
      </w:pPr>
    </w:p>
    <w:p>
      <w:pPr>
        <w:ind w:right="480"/>
        <w:spacing w:after="0" w:line="291" w:lineRule="auto"/>
        <w:rPr>
          <w:sz w:val="20"/>
          <w:szCs w:val="20"/>
          <w:color w:val="auto"/>
        </w:rPr>
      </w:pPr>
      <w:r>
        <w:rPr>
          <w:rFonts w:ascii="Arial" w:cs="Arial" w:eastAsia="Arial" w:hAnsi="Arial"/>
          <w:sz w:val="15"/>
          <w:szCs w:val="15"/>
          <w:color w:val="auto"/>
        </w:rPr>
        <w:t>This will always be a people business. We’ve succeeded because of our dedicated, talented Associates around the world. Now, we’ll have more of the same kind of passionate team players.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are convinced this will help us in our effort to become the </w:t>
      </w:r>
      <w:r>
        <w:rPr>
          <w:rFonts w:ascii="Arial" w:cs="Arial" w:eastAsia="Arial" w:hAnsi="Arial"/>
          <w:sz w:val="15"/>
          <w:szCs w:val="15"/>
          <w:b w:val="1"/>
          <w:bCs w:val="1"/>
          <w:i w:val="1"/>
          <w:iCs w:val="1"/>
          <w:color w:val="auto"/>
        </w:rPr>
        <w:t>Employer of Choice</w:t>
      </w:r>
      <w:r>
        <w:rPr>
          <w:rFonts w:ascii="Arial" w:cs="Arial" w:eastAsia="Arial" w:hAnsi="Arial"/>
          <w:sz w:val="15"/>
          <w:szCs w:val="15"/>
          <w:color w:val="auto"/>
        </w:rPr>
        <w:t>, where people can find real opportunity for growth.</w:t>
      </w:r>
    </w:p>
    <w:p>
      <w:pPr>
        <w:spacing w:after="0" w:line="156" w:lineRule="exact"/>
        <w:rPr>
          <w:sz w:val="20"/>
          <w:szCs w:val="20"/>
          <w:color w:val="auto"/>
        </w:rPr>
      </w:pPr>
    </w:p>
    <w:p>
      <w:pPr>
        <w:ind w:right="120"/>
        <w:spacing w:after="0" w:line="329" w:lineRule="auto"/>
        <w:rPr>
          <w:sz w:val="20"/>
          <w:szCs w:val="20"/>
          <w:color w:val="auto"/>
        </w:rPr>
      </w:pPr>
      <w:r>
        <w:rPr>
          <w:rFonts w:ascii="Arial" w:cs="Arial" w:eastAsia="Arial" w:hAnsi="Arial"/>
          <w:sz w:val="14"/>
          <w:szCs w:val="14"/>
          <w:color w:val="auto"/>
        </w:rPr>
        <w:t>We expect the transaction to close in the fourth quarter of 2008, when we’ll call the new enterprise in North America Willis-HRH to reflect the importance of the two companies. Here at Willis, we can’t wait to get going on this exciting journey. Thank you very much and please take a look at our site and the great services we offer our clients.</w:t>
      </w:r>
    </w:p>
    <w:sectPr>
      <w:pgSz w:w="11900" w:h="16838" w:orient="portrait"/>
      <w:cols w:equalWidth="0" w:num="1">
        <w:col w:w="11440"/>
      </w:cols>
      <w:pgMar w:left="24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2019-12-20T18:22:16Z</dcterms:created>
  <dcterms:modified xsi:type="dcterms:W3CDTF">2019-12-20T18:22:16Z</dcterms:modified>
</cp:coreProperties>
</file>