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Krasner Andrew Jay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WILLIS GROUP LIMITED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 LIME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EC3M 7DQ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WILLIS TOWERS WATSON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WTW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7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71"/>
        <w:gridCol w:w="276"/>
        <w:gridCol w:w="906"/>
        <w:gridCol w:w="801"/>
        <w:gridCol w:w="134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4.2095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Shares, nominal value $0.000304635 per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4.2095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758.3733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Vested shares under the Willis Towers Watson Non-Qualified Stable Value Excess Plan for U.S. Employees settle for Ordinary Shares, nominal value $0.000304635 per share, on a 1:1 basis on the first business day of the month on which the NASDAQ Stock Market is open for business following the earlier of (i) the date that is 6 months after the reporting person's separation from service and (ii) the date that is 30 days after the reporting person's death.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share units credited to the participant's account by the Company pursuant to the Willis Towers Watson Non-Qualified Stable Value Excess Plan for U.S. Employees (the "Plan") accrual formula, net of the units acquired pursuant to the participant's contribution under the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Krasner by Gary Pang, Attorney-in-Fact (power of attorney previously filed)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1781" TargetMode="External"/><Relationship Id="rId5" Type="http://schemas.openxmlformats.org/officeDocument/2006/relationships/hyperlink" Target="http://www.sec.gov/cgi-bin/browse-edgar?action=getcompany&amp;CIK=0001140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711</Words>
  <Characters>3857</Characters>
  <CharactersWithSpaces>4495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