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156210</wp:posOffset>
            </wp:positionV>
            <wp:extent cx="2860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87"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7"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232" w:lineRule="exact"/>
        <w:rPr>
          <w:sz w:val="24"/>
          <w:szCs w:val="24"/>
          <w:color w:val="auto"/>
        </w:rPr>
      </w:pPr>
    </w:p>
    <w:p>
      <w:pPr>
        <w:ind w:left="2900"/>
        <w:spacing w:after="0"/>
        <w:tabs>
          <w:tab w:leader="none" w:pos="6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-7620</wp:posOffset>
            </wp:positionV>
            <wp:extent cx="57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154305</wp:posOffset>
            </wp:positionV>
            <wp:extent cx="2851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115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299720</wp:posOffset>
            </wp:positionV>
            <wp:extent cx="1198880" cy="385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8880"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WILLIS TOWERS WATSON PUBLIC LIMITED COMPANY</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146050</wp:posOffset>
            </wp:positionV>
            <wp:extent cx="2851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1180" w:type="dxa"/>
        <w:tblCellMar>
          <w:top w:w="0" w:type="dxa"/>
          <w:left w:w="0" w:type="dxa"/>
          <w:bottom w:w="0" w:type="dxa"/>
          <w:right w:w="0" w:type="dxa"/>
        </w:tblCellMar>
      </w:tblPr>
      <w:tr>
        <w:trPr>
          <w:trHeight w:val="203"/>
        </w:trPr>
        <w:tc>
          <w:tcPr>
            <w:tcW w:w="4500" w:type="dxa"/>
            <w:vAlign w:val="bottom"/>
          </w:tcPr>
          <w:p>
            <w:pPr>
              <w:jc w:val="center"/>
              <w:ind w:right="1264"/>
              <w:spacing w:after="0"/>
              <w:rPr>
                <w:sz w:val="20"/>
                <w:szCs w:val="20"/>
                <w:color w:val="auto"/>
              </w:rPr>
            </w:pPr>
            <w:r>
              <w:rPr>
                <w:rFonts w:ascii="Arial" w:cs="Arial" w:eastAsia="Arial" w:hAnsi="Arial"/>
                <w:sz w:val="16"/>
                <w:szCs w:val="16"/>
                <w:b w:val="1"/>
                <w:bCs w:val="1"/>
                <w:color w:val="auto"/>
                <w:w w:val="99"/>
              </w:rPr>
              <w:t>Ireland</w:t>
            </w:r>
          </w:p>
        </w:tc>
        <w:tc>
          <w:tcPr>
            <w:tcW w:w="4400" w:type="dxa"/>
            <w:vAlign w:val="bottom"/>
          </w:tcPr>
          <w:p>
            <w:pPr>
              <w:jc w:val="right"/>
              <w:ind w:right="1065"/>
              <w:spacing w:after="0"/>
              <w:rPr>
                <w:sz w:val="20"/>
                <w:szCs w:val="20"/>
                <w:color w:val="auto"/>
              </w:rPr>
            </w:pPr>
            <w:r>
              <w:rPr>
                <w:rFonts w:ascii="Arial" w:cs="Arial" w:eastAsia="Arial" w:hAnsi="Arial"/>
                <w:sz w:val="16"/>
                <w:szCs w:val="16"/>
                <w:b w:val="1"/>
                <w:bCs w:val="1"/>
                <w:color w:val="auto"/>
              </w:rPr>
              <w:t>98-0352587</w:t>
            </w:r>
          </w:p>
        </w:tc>
        <w:tc>
          <w:tcPr>
            <w:tcW w:w="0" w:type="dxa"/>
            <w:vAlign w:val="bottom"/>
          </w:tcPr>
          <w:p>
            <w:pPr>
              <w:spacing w:after="0"/>
              <w:rPr>
                <w:sz w:val="1"/>
                <w:szCs w:val="1"/>
                <w:color w:val="auto"/>
              </w:rPr>
            </w:pPr>
          </w:p>
        </w:tc>
      </w:tr>
      <w:tr>
        <w:trPr>
          <w:trHeight w:val="162"/>
        </w:trPr>
        <w:tc>
          <w:tcPr>
            <w:tcW w:w="4500" w:type="dxa"/>
            <w:vAlign w:val="bottom"/>
          </w:tcPr>
          <w:p>
            <w:pPr>
              <w:jc w:val="center"/>
              <w:ind w:right="1264"/>
              <w:spacing w:after="0"/>
              <w:rPr>
                <w:sz w:val="20"/>
                <w:szCs w:val="20"/>
                <w:color w:val="auto"/>
              </w:rPr>
            </w:pPr>
            <w:r>
              <w:rPr>
                <w:rFonts w:ascii="Arial" w:cs="Arial" w:eastAsia="Arial" w:hAnsi="Arial"/>
                <w:sz w:val="14"/>
                <w:szCs w:val="14"/>
                <w:i w:val="1"/>
                <w:iCs w:val="1"/>
                <w:color w:val="auto"/>
                <w:w w:val="97"/>
              </w:rPr>
              <w:t>(Jurisdiction of</w:t>
            </w:r>
          </w:p>
        </w:tc>
        <w:tc>
          <w:tcPr>
            <w:tcW w:w="4400" w:type="dxa"/>
            <w:vAlign w:val="bottom"/>
          </w:tcPr>
          <w:p>
            <w:pPr>
              <w:jc w:val="center"/>
              <w:ind w:left="1265"/>
              <w:spacing w:after="0"/>
              <w:rPr>
                <w:sz w:val="20"/>
                <w:szCs w:val="20"/>
                <w:color w:val="auto"/>
              </w:rPr>
            </w:pPr>
            <w:r>
              <w:rPr>
                <w:rFonts w:ascii="Arial" w:cs="Arial" w:eastAsia="Arial" w:hAnsi="Arial"/>
                <w:sz w:val="14"/>
                <w:szCs w:val="14"/>
                <w:i w:val="1"/>
                <w:iCs w:val="1"/>
                <w:color w:val="auto"/>
                <w:w w:val="91"/>
              </w:rPr>
              <w:t>(I.R.S. Employer</w:t>
            </w:r>
          </w:p>
        </w:tc>
        <w:tc>
          <w:tcPr>
            <w:tcW w:w="0" w:type="dxa"/>
            <w:vAlign w:val="bottom"/>
          </w:tcPr>
          <w:p>
            <w:pPr>
              <w:spacing w:after="0"/>
              <w:rPr>
                <w:sz w:val="1"/>
                <w:szCs w:val="1"/>
                <w:color w:val="auto"/>
              </w:rPr>
            </w:pPr>
          </w:p>
        </w:tc>
      </w:tr>
      <w:tr>
        <w:trPr>
          <w:trHeight w:val="190"/>
        </w:trPr>
        <w:tc>
          <w:tcPr>
            <w:tcW w:w="4500" w:type="dxa"/>
            <w:vAlign w:val="bottom"/>
          </w:tcPr>
          <w:p>
            <w:pPr>
              <w:jc w:val="center"/>
              <w:ind w:right="1264"/>
              <w:spacing w:after="0"/>
              <w:rPr>
                <w:sz w:val="20"/>
                <w:szCs w:val="20"/>
                <w:color w:val="auto"/>
              </w:rPr>
            </w:pPr>
            <w:r>
              <w:rPr>
                <w:rFonts w:ascii="Arial" w:cs="Arial" w:eastAsia="Arial" w:hAnsi="Arial"/>
                <w:sz w:val="14"/>
                <w:szCs w:val="14"/>
                <w:i w:val="1"/>
                <w:iCs w:val="1"/>
                <w:color w:val="auto"/>
                <w:w w:val="96"/>
              </w:rPr>
              <w:t>incorporation or organization)</w:t>
            </w:r>
          </w:p>
        </w:tc>
        <w:tc>
          <w:tcPr>
            <w:tcW w:w="4400" w:type="dxa"/>
            <w:vAlign w:val="bottom"/>
          </w:tcPr>
          <w:p>
            <w:pPr>
              <w:ind w:left="2300"/>
              <w:spacing w:after="0"/>
              <w:rPr>
                <w:sz w:val="20"/>
                <w:szCs w:val="20"/>
                <w:color w:val="auto"/>
              </w:rPr>
            </w:pPr>
            <w:r>
              <w:rPr>
                <w:rFonts w:ascii="Arial" w:cs="Arial" w:eastAsia="Arial" w:hAnsi="Arial"/>
                <w:sz w:val="14"/>
                <w:szCs w:val="14"/>
                <w:i w:val="1"/>
                <w:iCs w:val="1"/>
                <w:color w:val="auto"/>
              </w:rPr>
              <w:t>Identification No.)</w:t>
            </w:r>
          </w:p>
        </w:tc>
        <w:tc>
          <w:tcPr>
            <w:tcW w:w="0" w:type="dxa"/>
            <w:vAlign w:val="bottom"/>
          </w:tcPr>
          <w:p>
            <w:pPr>
              <w:spacing w:after="0"/>
              <w:rPr>
                <w:sz w:val="1"/>
                <w:szCs w:val="1"/>
                <w:color w:val="auto"/>
              </w:rPr>
            </w:pPr>
          </w:p>
        </w:tc>
      </w:tr>
      <w:tr>
        <w:trPr>
          <w:trHeight w:val="295"/>
        </w:trPr>
        <w:tc>
          <w:tcPr>
            <w:tcW w:w="4500" w:type="dxa"/>
            <w:vAlign w:val="bottom"/>
          </w:tcPr>
          <w:p>
            <w:pPr>
              <w:jc w:val="center"/>
              <w:ind w:right="1264"/>
              <w:spacing w:after="0"/>
              <w:rPr>
                <w:sz w:val="20"/>
                <w:szCs w:val="20"/>
                <w:color w:val="auto"/>
              </w:rPr>
            </w:pPr>
            <w:r>
              <w:rPr>
                <w:rFonts w:ascii="Arial" w:cs="Arial" w:eastAsia="Arial" w:hAnsi="Arial"/>
                <w:sz w:val="16"/>
                <w:szCs w:val="16"/>
                <w:b w:val="1"/>
                <w:bCs w:val="1"/>
                <w:color w:val="auto"/>
                <w:w w:val="93"/>
              </w:rPr>
              <w:t>c/o Willis Group Limited</w:t>
            </w:r>
          </w:p>
        </w:tc>
        <w:tc>
          <w:tcPr>
            <w:tcW w:w="4400" w:type="dxa"/>
            <w:vAlign w:val="bottom"/>
            <w:vMerge w:val="restart"/>
          </w:tcPr>
          <w:p>
            <w:pPr>
              <w:jc w:val="right"/>
              <w:ind w:right="705"/>
              <w:spacing w:after="0"/>
              <w:rPr>
                <w:sz w:val="20"/>
                <w:szCs w:val="20"/>
                <w:color w:val="auto"/>
              </w:rPr>
            </w:pPr>
            <w:r>
              <w:rPr>
                <w:rFonts w:ascii="Arial" w:cs="Arial" w:eastAsia="Arial" w:hAnsi="Arial"/>
                <w:sz w:val="16"/>
                <w:szCs w:val="16"/>
                <w:b w:val="1"/>
                <w:bCs w:val="1"/>
                <w:color w:val="auto"/>
              </w:rPr>
              <w:t>(011) 44-20-3124-6000</w:t>
            </w:r>
          </w:p>
        </w:tc>
        <w:tc>
          <w:tcPr>
            <w:tcW w:w="0" w:type="dxa"/>
            <w:vAlign w:val="bottom"/>
          </w:tcPr>
          <w:p>
            <w:pPr>
              <w:spacing w:after="0"/>
              <w:rPr>
                <w:sz w:val="1"/>
                <w:szCs w:val="1"/>
                <w:color w:val="auto"/>
              </w:rPr>
            </w:pPr>
          </w:p>
        </w:tc>
      </w:tr>
      <w:tr>
        <w:trPr>
          <w:trHeight w:val="170"/>
        </w:trPr>
        <w:tc>
          <w:tcPr>
            <w:tcW w:w="4500" w:type="dxa"/>
            <w:vAlign w:val="bottom"/>
          </w:tcPr>
          <w:p>
            <w:pPr>
              <w:jc w:val="center"/>
              <w:ind w:right="1264"/>
              <w:spacing w:after="0" w:line="171" w:lineRule="exact"/>
              <w:rPr>
                <w:sz w:val="20"/>
                <w:szCs w:val="20"/>
                <w:color w:val="auto"/>
              </w:rPr>
            </w:pPr>
            <w:r>
              <w:rPr>
                <w:rFonts w:ascii="Arial" w:cs="Arial" w:eastAsia="Arial" w:hAnsi="Arial"/>
                <w:sz w:val="16"/>
                <w:szCs w:val="16"/>
                <w:b w:val="1"/>
                <w:bCs w:val="1"/>
                <w:color w:val="auto"/>
                <w:w w:val="94"/>
              </w:rPr>
              <w:t>51 Lime Street, London EC3M 7DQ, England</w:t>
            </w:r>
          </w:p>
        </w:tc>
        <w:tc>
          <w:tcPr>
            <w:tcW w:w="4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500" w:type="dxa"/>
            <w:vAlign w:val="bottom"/>
          </w:tcPr>
          <w:p>
            <w:pPr>
              <w:jc w:val="center"/>
              <w:ind w:right="1264"/>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4400" w:type="dxa"/>
            <w:vAlign w:val="bottom"/>
          </w:tcPr>
          <w:p>
            <w:pPr>
              <w:jc w:val="center"/>
              <w:ind w:left="1265"/>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bl>
    <w:p>
      <w:pPr>
        <w:spacing w:after="0" w:line="8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60"/>
              <w:spacing w:after="0"/>
              <w:rPr>
                <w:sz w:val="20"/>
                <w:szCs w:val="20"/>
                <w:color w:val="auto"/>
              </w:rPr>
            </w:pPr>
            <w:r>
              <w:rPr>
                <w:rFonts w:ascii="Arial" w:cs="Arial" w:eastAsia="Arial" w:hAnsi="Arial"/>
                <w:sz w:val="14"/>
                <w:szCs w:val="14"/>
                <w:b w:val="1"/>
                <w:bCs w:val="1"/>
                <w:color w:val="auto"/>
              </w:rPr>
              <w:t>Ordinary Shares, nominal value $0.000304635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WTW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6"/>
              </w:rPr>
              <w:t>NASDAQ Global Select Market</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right="220"/>
        <w:spacing w:after="0" w:line="27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67" w:lineRule="exact"/>
        <w:rPr>
          <w:sz w:val="24"/>
          <w:szCs w:val="24"/>
          <w:color w:val="auto"/>
        </w:rPr>
      </w:pPr>
    </w:p>
    <w:p>
      <w:pPr>
        <w:ind w:right="60"/>
        <w:spacing w:after="0" w:line="29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No</w:t>
      </w:r>
    </w:p>
    <w:p>
      <w:pPr>
        <w:spacing w:after="0" w:line="53" w:lineRule="exact"/>
        <w:rPr>
          <w:sz w:val="24"/>
          <w:szCs w:val="24"/>
          <w:color w:val="auto"/>
        </w:rPr>
      </w:pPr>
    </w:p>
    <w:p>
      <w:pPr>
        <w:ind w:right="54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6" w:right="339" w:bottom="1440" w:gutter="0" w:footer="0" w:header="0"/>
        </w:sectPr>
      </w:pPr>
    </w:p>
    <w:p>
      <w:pPr>
        <w:spacing w:after="0" w:line="188"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0" w:lineRule="exact"/>
        <w:rPr>
          <w:sz w:val="24"/>
          <w:szCs w:val="24"/>
          <w:color w:val="auto"/>
        </w:rPr>
      </w:pPr>
    </w:p>
    <w:p>
      <w:pPr>
        <w:sectPr>
          <w:pgSz w:w="11900" w:h="16838" w:orient="portrait"/>
          <w:cols w:equalWidth="0" w:num="5">
            <w:col w:w="2560" w:space="720"/>
            <w:col w:w="1680" w:space="720"/>
            <w:col w:w="2240" w:space="720"/>
            <w:col w:w="1620" w:space="720"/>
            <w:col w:w="260"/>
          </w:cols>
          <w:pgMar w:left="320" w:top="696" w:right="339" w:bottom="1440" w:gutter="0" w:footer="0" w:header="0"/>
          <w:type w:val="continuous"/>
        </w:sectPr>
      </w:pPr>
    </w:p>
    <w:p>
      <w:pPr>
        <w:spacing w:after="0" w:line="27" w:lineRule="exact"/>
        <w:rPr>
          <w:sz w:val="24"/>
          <w:szCs w:val="24"/>
          <w:color w:val="auto"/>
        </w:rPr>
      </w:pPr>
    </w:p>
    <w:p>
      <w:pPr>
        <w:ind w:left="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6" w:lineRule="exact"/>
        <w:rPr>
          <w:sz w:val="24"/>
          <w:szCs w:val="24"/>
          <w:color w:val="auto"/>
        </w:rPr>
      </w:pPr>
    </w:p>
    <w:p>
      <w:pPr>
        <w:sectPr>
          <w:pgSz w:w="11900" w:h="16838" w:orient="portrait"/>
          <w:cols w:equalWidth="0" w:num="2">
            <w:col w:w="1640" w:space="720"/>
            <w:col w:w="8880"/>
          </w:cols>
          <w:pgMar w:left="320" w:top="696" w:right="339" w:bottom="1440" w:gutter="0" w:footer="0" w:header="0"/>
          <w:type w:val="continuous"/>
        </w:sectPr>
      </w:pPr>
    </w:p>
    <w:p>
      <w:pPr>
        <w:spacing w:after="0" w:line="272"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9" w:lineRule="exact"/>
        <w:rPr>
          <w:sz w:val="24"/>
          <w:szCs w:val="24"/>
          <w:color w:val="auto"/>
        </w:rPr>
      </w:pPr>
    </w:p>
    <w:p>
      <w:pPr>
        <w:spacing w:after="0" w:line="161" w:lineRule="exact"/>
        <w:tabs>
          <w:tab w:leader="none" w:pos="6740" w:val="left"/>
          <w:tab w:leader="none" w:pos="74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p>
    <w:p>
      <w:pPr>
        <w:spacing w:after="0" w:line="298"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25, 2022, there were outstanding 108,237,621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Three and Nine Months Ended September 30,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400" w:type="dxa"/>
            <w:vAlign w:val="bottom"/>
            <w:gridSpan w:val="5"/>
            <w:vMerge w:val="restart"/>
          </w:tcPr>
          <w:p>
            <w:pPr>
              <w:spacing w:after="0"/>
              <w:rPr>
                <w:sz w:val="20"/>
                <w:szCs w:val="20"/>
                <w:color w:val="auto"/>
              </w:rPr>
            </w:pPr>
            <w:r>
              <w:rPr>
                <w:rFonts w:ascii="Arial" w:cs="Arial" w:eastAsia="Arial" w:hAnsi="Arial"/>
                <w:sz w:val="18"/>
                <w:szCs w:val="18"/>
                <w:color w:val="0000FF"/>
                <w:w w:val="93"/>
              </w:rPr>
              <w:t>Certain Definitions</w:t>
            </w:r>
          </w:p>
        </w:tc>
        <w:tc>
          <w:tcPr>
            <w:tcW w:w="9240" w:type="dxa"/>
            <w:vAlign w:val="bottom"/>
            <w:gridSpan w:val="21"/>
            <w:vMerge w:val="restart"/>
          </w:tcPr>
          <w:p>
            <w:pPr>
              <w:spacing w:after="0"/>
              <w:rPr>
                <w:sz w:val="15"/>
                <w:szCs w:val="15"/>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1400" w:type="dxa"/>
            <w:vAlign w:val="bottom"/>
            <w:tcBorders>
              <w:bottom w:val="single" w:sz="8" w:color="0000FF"/>
            </w:tcBorders>
            <w:gridSpan w:val="5"/>
            <w:vMerge w:val="continue"/>
          </w:tcPr>
          <w:p>
            <w:pPr>
              <w:spacing w:after="0"/>
              <w:rPr>
                <w:sz w:val="14"/>
                <w:szCs w:val="14"/>
                <w:color w:val="auto"/>
              </w:rPr>
            </w:pPr>
          </w:p>
        </w:tc>
        <w:tc>
          <w:tcPr>
            <w:tcW w:w="9240" w:type="dxa"/>
            <w:vAlign w:val="bottom"/>
            <w:gridSpan w:val="21"/>
            <w:vMerge w:val="continue"/>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640" w:type="dxa"/>
            <w:vAlign w:val="bottom"/>
            <w:gridSpan w:val="26"/>
          </w:tcPr>
          <w:p>
            <w:pPr>
              <w:spacing w:after="0" w:line="195" w:lineRule="exact"/>
              <w:rPr>
                <w:sz w:val="20"/>
                <w:szCs w:val="20"/>
                <w:color w:val="auto"/>
              </w:rPr>
            </w:pPr>
            <w:r>
              <w:rPr>
                <w:rFonts w:ascii="Arial" w:cs="Arial" w:eastAsia="Arial" w:hAnsi="Arial"/>
                <w:sz w:val="18"/>
                <w:szCs w:val="18"/>
                <w:color w:val="0000FF"/>
              </w:rPr>
              <w:t>Disclaimer Regarding Forward-looking Statements</w:t>
            </w: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411"/>
        </w:trPr>
        <w:tc>
          <w:tcPr>
            <w:tcW w:w="40" w:type="dxa"/>
            <w:vAlign w:val="bottom"/>
          </w:tcPr>
          <w:p>
            <w:pPr>
              <w:spacing w:after="0"/>
              <w:rPr>
                <w:sz w:val="24"/>
                <w:szCs w:val="24"/>
                <w:color w:val="auto"/>
              </w:rPr>
            </w:pPr>
          </w:p>
        </w:tc>
        <w:tc>
          <w:tcPr>
            <w:tcW w:w="36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PART I. FINANCIAL INFORMATION</w:t>
            </w:r>
          </w:p>
        </w:tc>
        <w:tc>
          <w:tcPr>
            <w:tcW w:w="69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line="195" w:lineRule="exact"/>
              <w:rPr>
                <w:sz w:val="20"/>
                <w:szCs w:val="20"/>
                <w:color w:val="auto"/>
              </w:rPr>
            </w:pPr>
            <w:r>
              <w:rPr>
                <w:rFonts w:ascii="Arial" w:cs="Arial" w:eastAsia="Arial" w:hAnsi="Arial"/>
                <w:sz w:val="18"/>
                <w:szCs w:val="18"/>
                <w:color w:val="0000FF"/>
                <w:w w:val="89"/>
              </w:rPr>
              <w:t>Item 1. Financial Statements (Unaudited)</w:t>
            </w:r>
          </w:p>
        </w:tc>
        <w:tc>
          <w:tcPr>
            <w:tcW w:w="20" w:type="dxa"/>
            <w:vAlign w:val="bottom"/>
            <w:tcBorders>
              <w:bottom w:val="single" w:sz="8" w:color="0000EE"/>
            </w:tcBorders>
          </w:tcPr>
          <w:p>
            <w:pPr>
              <w:spacing w:after="0"/>
              <w:rPr>
                <w:sz w:val="17"/>
                <w:szCs w:val="17"/>
                <w:color w:val="auto"/>
              </w:rPr>
            </w:pPr>
          </w:p>
        </w:tc>
        <w:tc>
          <w:tcPr>
            <w:tcW w:w="7480" w:type="dxa"/>
            <w:vAlign w:val="bottom"/>
            <w:gridSpan w:val="11"/>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tcBorders>
              <w:bottom w:val="single" w:sz="8" w:color="0000FF"/>
            </w:tcBorders>
            <w:gridSpan w:val="23"/>
          </w:tcPr>
          <w:p>
            <w:pPr>
              <w:spacing w:after="0" w:line="195" w:lineRule="exact"/>
              <w:rPr>
                <w:sz w:val="20"/>
                <w:szCs w:val="20"/>
                <w:color w:val="auto"/>
              </w:rPr>
            </w:pPr>
            <w:r>
              <w:rPr>
                <w:rFonts w:ascii="Arial" w:cs="Arial" w:eastAsia="Arial" w:hAnsi="Arial"/>
                <w:sz w:val="18"/>
                <w:szCs w:val="18"/>
                <w:color w:val="0000FF"/>
                <w:w w:val="89"/>
              </w:rPr>
              <w:t>Condensed Consolidated Statements of Comprehensive Income - Three and Nine Months Ended September 30, 2022 and 2021</w:t>
            </w:r>
          </w:p>
        </w:tc>
        <w:tc>
          <w:tcPr>
            <w:tcW w:w="1140" w:type="dxa"/>
            <w:vAlign w:val="bottom"/>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24"/>
          </w:tcPr>
          <w:p>
            <w:pPr>
              <w:spacing w:after="0" w:line="195" w:lineRule="exact"/>
              <w:rPr>
                <w:sz w:val="20"/>
                <w:szCs w:val="20"/>
                <w:color w:val="auto"/>
              </w:rPr>
            </w:pPr>
            <w:r>
              <w:rPr>
                <w:rFonts w:ascii="Arial" w:cs="Arial" w:eastAsia="Arial" w:hAnsi="Arial"/>
                <w:sz w:val="18"/>
                <w:szCs w:val="18"/>
                <w:color w:val="0000FF"/>
              </w:rPr>
              <w:t>Condensed Consolidated Balance Sheets - September 30, 2022 and December 31, 2021</w:t>
            </w: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24"/>
          </w:tcPr>
          <w:p>
            <w:pPr>
              <w:spacing w:after="0" w:line="195" w:lineRule="exact"/>
              <w:rPr>
                <w:sz w:val="20"/>
                <w:szCs w:val="20"/>
                <w:color w:val="auto"/>
              </w:rPr>
            </w:pPr>
            <w:r>
              <w:rPr>
                <w:rFonts w:ascii="Arial" w:cs="Arial" w:eastAsia="Arial" w:hAnsi="Arial"/>
                <w:sz w:val="18"/>
                <w:szCs w:val="18"/>
                <w:color w:val="0000FF"/>
              </w:rPr>
              <w:t>Condensed Consolidated Statements of Cash Flows - Nine Months Ended September 30, 2022 and 2021</w:t>
            </w: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24"/>
          </w:tcPr>
          <w:p>
            <w:pPr>
              <w:spacing w:after="0" w:line="195" w:lineRule="exact"/>
              <w:rPr>
                <w:sz w:val="20"/>
                <w:szCs w:val="20"/>
                <w:color w:val="auto"/>
              </w:rPr>
            </w:pPr>
            <w:r>
              <w:rPr>
                <w:rFonts w:ascii="Arial" w:cs="Arial" w:eastAsia="Arial" w:hAnsi="Arial"/>
                <w:sz w:val="18"/>
                <w:szCs w:val="18"/>
                <w:color w:val="0000FF"/>
              </w:rPr>
              <w:t>Condensed Consolidated Statements of Changes in Equity - Nine Months Ended September 30, 2022 and 2021</w:t>
            </w: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15"/>
          </w:tcPr>
          <w:p>
            <w:pPr>
              <w:spacing w:after="0" w:line="195" w:lineRule="exact"/>
              <w:rPr>
                <w:sz w:val="20"/>
                <w:szCs w:val="20"/>
                <w:color w:val="auto"/>
              </w:rPr>
            </w:pPr>
            <w:r>
              <w:rPr>
                <w:rFonts w:ascii="Arial" w:cs="Arial" w:eastAsia="Arial" w:hAnsi="Arial"/>
                <w:sz w:val="18"/>
                <w:szCs w:val="18"/>
                <w:color w:val="0000FF"/>
                <w:w w:val="88"/>
              </w:rPr>
              <w:t>Notes to the Condensed Consolidated Financial Statements</w:t>
            </w:r>
          </w:p>
        </w:tc>
        <w:tc>
          <w:tcPr>
            <w:tcW w:w="20" w:type="dxa"/>
            <w:vAlign w:val="bottom"/>
            <w:tcBorders>
              <w:top w:val="single" w:sz="8" w:color="0000FF"/>
              <w:bottom w:val="single" w:sz="8" w:color="0000EE"/>
            </w:tcBorders>
          </w:tcPr>
          <w:p>
            <w:pPr>
              <w:spacing w:after="0"/>
              <w:rPr>
                <w:sz w:val="17"/>
                <w:szCs w:val="17"/>
                <w:color w:val="auto"/>
              </w:rPr>
            </w:pPr>
          </w:p>
        </w:tc>
        <w:tc>
          <w:tcPr>
            <w:tcW w:w="3700" w:type="dxa"/>
            <w:vAlign w:val="bottom"/>
            <w:tcBorders>
              <w:top w:val="single" w:sz="8" w:color="0000FF"/>
            </w:tcBorders>
            <w:gridSpan w:val="6"/>
          </w:tcPr>
          <w:p>
            <w:pPr>
              <w:spacing w:after="0"/>
              <w:rPr>
                <w:sz w:val="17"/>
                <w:szCs w:val="17"/>
                <w:color w:val="auto"/>
              </w:rPr>
            </w:pPr>
          </w:p>
        </w:tc>
        <w:tc>
          <w:tcPr>
            <w:tcW w:w="2300" w:type="dxa"/>
            <w:vAlign w:val="bottom"/>
            <w:gridSpan w:val="2"/>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tcBorders>
              <w:bottom w:val="single" w:sz="8" w:color="0000FF"/>
            </w:tcBorders>
            <w:gridSpan w:val="21"/>
          </w:tcPr>
          <w:p>
            <w:pPr>
              <w:spacing w:after="0" w:line="195" w:lineRule="exact"/>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3460" w:type="dxa"/>
            <w:vAlign w:val="bottom"/>
            <w:gridSpan w:val="4"/>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bottom w:val="single" w:sz="8" w:color="0000FF"/>
            </w:tcBorders>
            <w:gridSpan w:val="19"/>
          </w:tcPr>
          <w:p>
            <w:pPr>
              <w:spacing w:after="0" w:line="195" w:lineRule="exact"/>
              <w:rPr>
                <w:sz w:val="20"/>
                <w:szCs w:val="20"/>
                <w:color w:val="auto"/>
              </w:rPr>
            </w:pPr>
            <w:r>
              <w:rPr>
                <w:rFonts w:ascii="Arial" w:cs="Arial" w:eastAsia="Arial" w:hAnsi="Arial"/>
                <w:sz w:val="18"/>
                <w:szCs w:val="18"/>
                <w:color w:val="0000FF"/>
                <w:w w:val="91"/>
              </w:rPr>
              <w:t>Item 3. Quantitative and Qualitative Disclosures About Market Risk</w:t>
            </w:r>
          </w:p>
        </w:tc>
        <w:tc>
          <w:tcPr>
            <w:tcW w:w="5560" w:type="dxa"/>
            <w:vAlign w:val="bottom"/>
            <w:gridSpan w:val="6"/>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FF"/>
            </w:tcBorders>
            <w:gridSpan w:val="8"/>
          </w:tcPr>
          <w:p>
            <w:pPr>
              <w:spacing w:after="0" w:line="195" w:lineRule="exact"/>
              <w:rPr>
                <w:sz w:val="20"/>
                <w:szCs w:val="20"/>
                <w:color w:val="auto"/>
              </w:rPr>
            </w:pPr>
            <w:r>
              <w:rPr>
                <w:rFonts w:ascii="Arial" w:cs="Arial" w:eastAsia="Arial" w:hAnsi="Arial"/>
                <w:sz w:val="18"/>
                <w:szCs w:val="18"/>
                <w:color w:val="0000FF"/>
                <w:w w:val="88"/>
              </w:rPr>
              <w:t>Item 4. Controls and Procedures</w:t>
            </w:r>
          </w:p>
        </w:tc>
        <w:tc>
          <w:tcPr>
            <w:tcW w:w="20" w:type="dxa"/>
            <w:vAlign w:val="bottom"/>
            <w:tcBorders>
              <w:bottom w:val="single" w:sz="8" w:color="0000EE"/>
            </w:tcBorders>
          </w:tcPr>
          <w:p>
            <w:pPr>
              <w:spacing w:after="0"/>
              <w:rPr>
                <w:sz w:val="17"/>
                <w:szCs w:val="17"/>
                <w:color w:val="auto"/>
              </w:rPr>
            </w:pPr>
          </w:p>
        </w:tc>
        <w:tc>
          <w:tcPr>
            <w:tcW w:w="8120" w:type="dxa"/>
            <w:vAlign w:val="bottom"/>
            <w:gridSpan w:val="16"/>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411"/>
        </w:trPr>
        <w:tc>
          <w:tcPr>
            <w:tcW w:w="40" w:type="dxa"/>
            <w:vAlign w:val="bottom"/>
          </w:tcPr>
          <w:p>
            <w:pPr>
              <w:spacing w:after="0"/>
              <w:rPr>
                <w:sz w:val="24"/>
                <w:szCs w:val="24"/>
                <w:color w:val="auto"/>
              </w:rPr>
            </w:pPr>
          </w:p>
        </w:tc>
        <w:tc>
          <w:tcPr>
            <w:tcW w:w="25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PART II. OTHER INFORMATION</w:t>
            </w:r>
          </w:p>
        </w:tc>
        <w:tc>
          <w:tcPr>
            <w:tcW w:w="806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88"/>
              </w:rPr>
              <w:t>Item 1. Legal Proceedings</w:t>
            </w:r>
          </w:p>
        </w:tc>
        <w:tc>
          <w:tcPr>
            <w:tcW w:w="8580" w:type="dxa"/>
            <w:vAlign w:val="bottom"/>
            <w:gridSpan w:val="18"/>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18"/>
                <w:szCs w:val="18"/>
                <w:color w:val="0000FF"/>
                <w:w w:val="90"/>
              </w:rPr>
              <w:t>Item 1A. Risk Factors</w:t>
            </w:r>
          </w:p>
        </w:tc>
        <w:tc>
          <w:tcPr>
            <w:tcW w:w="8880" w:type="dxa"/>
            <w:vAlign w:val="bottom"/>
            <w:gridSpan w:val="20"/>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60" w:type="dxa"/>
            <w:vAlign w:val="bottom"/>
            <w:gridSpan w:val="25"/>
          </w:tcPr>
          <w:p>
            <w:pPr>
              <w:spacing w:after="0" w:line="195"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tcBorders>
              <w:top w:val="single" w:sz="8" w:color="0000FF"/>
            </w:tcBorders>
            <w:gridSpan w:val="18"/>
          </w:tcPr>
          <w:p>
            <w:pPr>
              <w:spacing w:after="0" w:line="195" w:lineRule="exact"/>
              <w:rPr>
                <w:sz w:val="20"/>
                <w:szCs w:val="20"/>
                <w:color w:val="auto"/>
              </w:rPr>
            </w:pPr>
            <w:r>
              <w:rPr>
                <w:rFonts w:ascii="Arial" w:cs="Arial" w:eastAsia="Arial" w:hAnsi="Arial"/>
                <w:sz w:val="18"/>
                <w:szCs w:val="18"/>
                <w:color w:val="0000FF"/>
              </w:rPr>
              <w:t>Item 3. Defaults Upon Senior Securities</w:t>
            </w:r>
          </w:p>
        </w:tc>
        <w:tc>
          <w:tcPr>
            <w:tcW w:w="5580" w:type="dxa"/>
            <w:vAlign w:val="bottom"/>
            <w:gridSpan w:val="7"/>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8"/>
          </w:tcPr>
          <w:p>
            <w:pPr>
              <w:spacing w:after="0" w:line="195" w:lineRule="exact"/>
              <w:rPr>
                <w:sz w:val="20"/>
                <w:szCs w:val="20"/>
                <w:color w:val="auto"/>
              </w:rPr>
            </w:pPr>
            <w:r>
              <w:rPr>
                <w:rFonts w:ascii="Arial" w:cs="Arial" w:eastAsia="Arial" w:hAnsi="Arial"/>
                <w:sz w:val="18"/>
                <w:szCs w:val="18"/>
                <w:color w:val="0000FF"/>
                <w:w w:val="90"/>
              </w:rPr>
              <w:t>Item 4. Mine Safety Disclosures</w:t>
            </w:r>
          </w:p>
        </w:tc>
        <w:tc>
          <w:tcPr>
            <w:tcW w:w="540" w:type="dxa"/>
            <w:vAlign w:val="bottom"/>
            <w:tcBorders>
              <w:top w:val="single" w:sz="8" w:color="0000FF"/>
            </w:tcBorders>
            <w:gridSpan w:val="4"/>
          </w:tcPr>
          <w:p>
            <w:pPr>
              <w:spacing w:after="0"/>
              <w:rPr>
                <w:sz w:val="17"/>
                <w:szCs w:val="17"/>
                <w:color w:val="auto"/>
              </w:rPr>
            </w:pPr>
          </w:p>
        </w:tc>
        <w:tc>
          <w:tcPr>
            <w:tcW w:w="7600" w:type="dxa"/>
            <w:vAlign w:val="bottom"/>
            <w:gridSpan w:val="13"/>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1"/>
              </w:rPr>
              <w:t>Item 5. Other Information</w:t>
            </w:r>
          </w:p>
        </w:tc>
        <w:tc>
          <w:tcPr>
            <w:tcW w:w="8600" w:type="dxa"/>
            <w:vAlign w:val="bottom"/>
            <w:gridSpan w:val="19"/>
          </w:tcPr>
          <w:p>
            <w:pPr>
              <w:spacing w:after="0"/>
              <w:rPr>
                <w:sz w:val="17"/>
                <w:szCs w:val="17"/>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60" w:type="dxa"/>
            <w:vAlign w:val="bottom"/>
            <w:gridSpan w:val="25"/>
          </w:tcPr>
          <w:p>
            <w:pPr>
              <w:spacing w:after="0" w:line="195" w:lineRule="exact"/>
              <w:rPr>
                <w:sz w:val="20"/>
                <w:szCs w:val="20"/>
                <w:color w:val="auto"/>
              </w:rPr>
            </w:pPr>
            <w:r>
              <w:rPr>
                <w:rFonts w:ascii="Arial" w:cs="Arial" w:eastAsia="Arial" w:hAnsi="Arial"/>
                <w:sz w:val="18"/>
                <w:szCs w:val="18"/>
                <w:color w:val="0000FF"/>
              </w:rPr>
              <w:t>Item 6. Exhibits</w:t>
            </w: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2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40" w:type="dxa"/>
            <w:vAlign w:val="bottom"/>
            <w:gridSpan w:val="26"/>
          </w:tcPr>
          <w:p>
            <w:pPr>
              <w:spacing w:after="0" w:line="195" w:lineRule="exact"/>
              <w:rPr>
                <w:sz w:val="20"/>
                <w:szCs w:val="20"/>
                <w:color w:val="auto"/>
              </w:rPr>
            </w:pPr>
            <w:r>
              <w:rPr>
                <w:rFonts w:ascii="Arial" w:cs="Arial" w:eastAsia="Arial" w:hAnsi="Arial"/>
                <w:sz w:val="18"/>
                <w:szCs w:val="18"/>
                <w:color w:val="0000FF"/>
              </w:rPr>
              <w:t>Signatures</w:t>
            </w: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614"/>
        </w:trPr>
        <w:tc>
          <w:tcPr>
            <w:tcW w:w="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900" w:type="dxa"/>
            <w:vAlign w:val="bottom"/>
            <w:gridSpan w:val="18"/>
          </w:tcPr>
          <w:p>
            <w:pPr>
              <w:jc w:val="right"/>
              <w:ind w:right="104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definitions apply throughout this quarterly report unless the context requires otherwise:</w:t>
      </w:r>
    </w:p>
    <w:p>
      <w:pPr>
        <w:sectPr>
          <w:pgSz w:w="11900" w:h="16838" w:orient="portrait"/>
          <w:cols w:equalWidth="0" w:num="1">
            <w:col w:w="10840"/>
          </w:cols>
          <w:pgMar w:left="320" w:top="323" w:right="739" w:bottom="1440" w:gutter="0" w:footer="0" w:header="0"/>
        </w:sectPr>
      </w:pPr>
    </w:p>
    <w:p>
      <w:pPr>
        <w:spacing w:after="0" w:line="221" w:lineRule="exact"/>
        <w:rPr>
          <w:sz w:val="20"/>
          <w:szCs w:val="20"/>
          <w:color w:val="auto"/>
        </w:rPr>
      </w:pPr>
    </w:p>
    <w:p>
      <w:pPr>
        <w:ind w:left="480"/>
        <w:spacing w:after="0" w:line="274" w:lineRule="auto"/>
        <w:rPr>
          <w:sz w:val="20"/>
          <w:szCs w:val="20"/>
          <w:color w:val="auto"/>
        </w:rPr>
      </w:pPr>
      <w:r>
        <w:rPr>
          <w:rFonts w:ascii="Arial" w:cs="Arial" w:eastAsia="Arial" w:hAnsi="Arial"/>
          <w:sz w:val="17"/>
          <w:szCs w:val="17"/>
          <w:color w:val="auto"/>
        </w:rPr>
        <w:t>‘We’, ‘Us’, ‘Company’, ‘Willis Towers Watson’, ‘Our’, ‘Willis Towers Watson plc’ or ‘WTW’</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Willis Towers Watson Public Limited Company, a company organized under the laws of Ireland, and its subsidiaries</w:t>
      </w:r>
    </w:p>
    <w:p>
      <w:pPr>
        <w:spacing w:after="0" w:line="116" w:lineRule="exact"/>
        <w:rPr>
          <w:sz w:val="20"/>
          <w:szCs w:val="20"/>
          <w:color w:val="auto"/>
        </w:rPr>
      </w:pPr>
    </w:p>
    <w:p>
      <w:pPr>
        <w:sectPr>
          <w:pgSz w:w="11900" w:h="16838" w:orient="portrait"/>
          <w:cols w:equalWidth="0" w:num="2">
            <w:col w:w="4000" w:space="500"/>
            <w:col w:w="6340"/>
          </w:cols>
          <w:pgMar w:left="320" w:top="323" w:right="73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‘shares’</w:t>
      </w:r>
    </w:p>
    <w:p>
      <w:pPr>
        <w:spacing w:after="0" w:line="20" w:lineRule="exact"/>
        <w:rPr>
          <w:sz w:val="20"/>
          <w:szCs w:val="20"/>
          <w:color w:val="auto"/>
        </w:rPr>
      </w:pPr>
      <w:r>
        <w:rPr>
          <w:sz w:val="20"/>
          <w:szCs w:val="20"/>
          <w:color w:val="auto"/>
        </w:rPr>
        <w:br w:type="column"/>
      </w:r>
    </w:p>
    <w:p>
      <w:pPr>
        <w:ind w:right="140"/>
        <w:spacing w:after="0" w:line="245" w:lineRule="auto"/>
        <w:rPr>
          <w:sz w:val="20"/>
          <w:szCs w:val="20"/>
          <w:color w:val="auto"/>
        </w:rPr>
      </w:pPr>
      <w:r>
        <w:rPr>
          <w:rFonts w:ascii="Arial" w:cs="Arial" w:eastAsia="Arial" w:hAnsi="Arial"/>
          <w:sz w:val="18"/>
          <w:szCs w:val="18"/>
          <w:color w:val="auto"/>
        </w:rPr>
        <w:t>The ordinary shares of Willis Towers Watson Public Limited Company, nominal value $0.000304635 per share</w:t>
      </w:r>
    </w:p>
    <w:p>
      <w:pPr>
        <w:spacing w:after="0" w:line="117" w:lineRule="exact"/>
        <w:rPr>
          <w:sz w:val="20"/>
          <w:szCs w:val="20"/>
          <w:color w:val="auto"/>
        </w:rPr>
      </w:pPr>
    </w:p>
    <w:p>
      <w:pPr>
        <w:sectPr>
          <w:pgSz w:w="11900" w:h="16838" w:orient="portrait"/>
          <w:cols w:equalWidth="0" w:num="2">
            <w:col w:w="3780" w:space="720"/>
            <w:col w:w="6340"/>
          </w:cols>
          <w:pgMar w:left="320" w:top="323" w:right="7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Miller Insurance Services LLP and its subsidiaries</w:t>
      </w:r>
    </w:p>
    <w:p>
      <w:pPr>
        <w:spacing w:after="0" w:line="166" w:lineRule="exact"/>
        <w:rPr>
          <w:sz w:val="20"/>
          <w:szCs w:val="20"/>
          <w:color w:val="auto"/>
        </w:rPr>
      </w:pPr>
    </w:p>
    <w:p>
      <w:pPr>
        <w:sectPr>
          <w:pgSz w:w="11900" w:h="16838" w:orient="portrait"/>
          <w:cols w:equalWidth="0" w:num="2">
            <w:col w:w="3740" w:space="720"/>
            <w:col w:w="6380"/>
          </w:cols>
          <w:pgMar w:left="320" w:top="323" w:right="7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w:t>
      </w:r>
    </w:p>
    <w:p>
      <w:pPr>
        <w:spacing w:after="0" w:line="178" w:lineRule="exact"/>
        <w:rPr>
          <w:sz w:val="20"/>
          <w:szCs w:val="20"/>
          <w:color w:val="auto"/>
        </w:rPr>
      </w:pPr>
    </w:p>
    <w:p>
      <w:pPr>
        <w:sectPr>
          <w:pgSz w:w="11900" w:h="16838" w:orient="portrait"/>
          <w:cols w:equalWidth="0" w:num="2">
            <w:col w:w="3740" w:space="720"/>
            <w:col w:w="6380"/>
          </w:cols>
          <w:pgMar w:left="320" w:top="323" w:right="7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206" w:lineRule="exact"/>
        <w:rPr>
          <w:sz w:val="20"/>
          <w:szCs w:val="20"/>
          <w:color w:val="auto"/>
        </w:rPr>
      </w:pPr>
    </w:p>
    <w:p>
      <w:pPr>
        <w:sectPr>
          <w:pgSz w:w="11900" w:h="16838" w:orient="portrait"/>
          <w:cols w:equalWidth="0" w:num="2">
            <w:col w:w="3780" w:space="720"/>
            <w:col w:w="6340"/>
          </w:cols>
          <w:pgMar w:left="320" w:top="323" w:right="7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‘Brexit’</w:t>
      </w:r>
    </w:p>
    <w:p>
      <w:pPr>
        <w:spacing w:after="0" w:line="20" w:lineRule="exact"/>
        <w:rPr>
          <w:sz w:val="20"/>
          <w:szCs w:val="20"/>
          <w:color w:val="auto"/>
        </w:rPr>
      </w:pPr>
      <w:r>
        <w:rPr>
          <w:sz w:val="20"/>
          <w:szCs w:val="20"/>
          <w:color w:val="auto"/>
        </w:rPr>
        <w:br w:type="column"/>
      </w:r>
    </w:p>
    <w:p>
      <w:pPr>
        <w:ind w:right="180"/>
        <w:spacing w:after="0" w:line="245" w:lineRule="auto"/>
        <w:rPr>
          <w:sz w:val="20"/>
          <w:szCs w:val="20"/>
          <w:color w:val="auto"/>
        </w:rPr>
      </w:pPr>
      <w:r>
        <w:rPr>
          <w:rFonts w:ascii="Arial" w:cs="Arial" w:eastAsia="Arial" w:hAnsi="Arial"/>
          <w:sz w:val="18"/>
          <w:szCs w:val="18"/>
          <w:color w:val="auto"/>
        </w:rPr>
        <w:t>The United Kingdom’s exit from the European Union, which occurred on January 31, 2020.</w:t>
      </w:r>
    </w:p>
    <w:p>
      <w:pPr>
        <w:spacing w:after="0" w:line="117" w:lineRule="exact"/>
        <w:rPr>
          <w:sz w:val="20"/>
          <w:szCs w:val="20"/>
          <w:color w:val="auto"/>
        </w:rPr>
      </w:pPr>
    </w:p>
    <w:p>
      <w:pPr>
        <w:sectPr>
          <w:pgSz w:w="11900" w:h="16838" w:orient="portrait"/>
          <w:cols w:equalWidth="0" w:num="2">
            <w:col w:w="3780" w:space="720"/>
            <w:col w:w="6340"/>
          </w:cols>
          <w:pgMar w:left="320" w:top="323" w:right="7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‘E.U.’</w:t>
      </w:r>
    </w:p>
    <w:p>
      <w:pPr>
        <w:spacing w:after="0" w:line="20" w:lineRule="exact"/>
        <w:rPr>
          <w:sz w:val="20"/>
          <w:szCs w:val="20"/>
          <w:color w:val="auto"/>
        </w:rPr>
      </w:pPr>
      <w:r>
        <w:rPr>
          <w:sz w:val="20"/>
          <w:szCs w:val="20"/>
          <w:color w:val="auto"/>
        </w:rPr>
        <w:br w:type="column"/>
      </w:r>
    </w:p>
    <w:p>
      <w:pPr>
        <w:ind w:right="80"/>
        <w:spacing w:after="0" w:line="245" w:lineRule="auto"/>
        <w:rPr>
          <w:sz w:val="20"/>
          <w:szCs w:val="20"/>
          <w:color w:val="auto"/>
        </w:rPr>
      </w:pPr>
      <w:r>
        <w:rPr>
          <w:rFonts w:ascii="Arial" w:cs="Arial" w:eastAsia="Arial" w:hAnsi="Arial"/>
          <w:sz w:val="18"/>
          <w:szCs w:val="18"/>
          <w:color w:val="auto"/>
        </w:rPr>
        <w:t>European Union or European Union 27 (the number of member countries following the United Kingdom’s exit)</w:t>
      </w:r>
    </w:p>
    <w:p>
      <w:pPr>
        <w:spacing w:after="0" w:line="117" w:lineRule="exact"/>
        <w:rPr>
          <w:sz w:val="20"/>
          <w:szCs w:val="20"/>
          <w:color w:val="auto"/>
        </w:rPr>
      </w:pPr>
    </w:p>
    <w:p>
      <w:pPr>
        <w:sectPr>
          <w:pgSz w:w="11900" w:h="16838" w:orient="portrait"/>
          <w:cols w:equalWidth="0" w:num="2">
            <w:col w:w="3740" w:space="720"/>
            <w:col w:w="6380"/>
          </w:cols>
          <w:pgMar w:left="320" w:top="323" w:right="739" w:bottom="1440" w:gutter="0" w:footer="0" w:header="0"/>
          <w:type w:val="continuous"/>
        </w:sectPr>
      </w:pPr>
    </w:p>
    <w:p>
      <w:pPr>
        <w:ind w:left="48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Generally Accepted Accounting Principles</w:t>
      </w:r>
    </w:p>
    <w:p>
      <w:pPr>
        <w:spacing w:after="0" w:line="207" w:lineRule="exact"/>
        <w:rPr>
          <w:sz w:val="20"/>
          <w:szCs w:val="20"/>
          <w:color w:val="auto"/>
        </w:rPr>
      </w:pPr>
    </w:p>
    <w:p>
      <w:pPr>
        <w:sectPr>
          <w:pgSz w:w="11900" w:h="16838" w:orient="portrait"/>
          <w:cols w:equalWidth="0" w:num="2">
            <w:col w:w="3780" w:space="720"/>
            <w:col w:w="6340"/>
          </w:cols>
          <w:pgMar w:left="320" w:top="323" w:right="7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‘FASB’</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color w:val="auto"/>
        </w:rPr>
        <w:t>Financial Accounting Standards Board</w:t>
      </w:r>
    </w:p>
    <w:p>
      <w:pPr>
        <w:spacing w:after="0" w:line="206" w:lineRule="exact"/>
        <w:rPr>
          <w:sz w:val="20"/>
          <w:szCs w:val="20"/>
          <w:color w:val="auto"/>
        </w:rPr>
      </w:pPr>
    </w:p>
    <w:p>
      <w:pPr>
        <w:sectPr>
          <w:pgSz w:w="11900" w:h="16838" w:orient="portrait"/>
          <w:cols w:equalWidth="0" w:num="2">
            <w:col w:w="3780" w:space="720"/>
            <w:col w:w="6340"/>
          </w:cols>
          <w:pgMar w:left="320" w:top="323" w:right="7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‘ASC’</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Arial" w:cs="Arial" w:eastAsia="Arial" w:hAnsi="Arial"/>
          <w:sz w:val="16"/>
          <w:szCs w:val="16"/>
          <w:color w:val="auto"/>
        </w:rPr>
        <w:t>Accounting Standards Codification</w:t>
      </w:r>
    </w:p>
    <w:p>
      <w:pPr>
        <w:spacing w:after="0" w:line="206" w:lineRule="exact"/>
        <w:rPr>
          <w:sz w:val="20"/>
          <w:szCs w:val="20"/>
          <w:color w:val="auto"/>
        </w:rPr>
      </w:pPr>
    </w:p>
    <w:p>
      <w:pPr>
        <w:sectPr>
          <w:pgSz w:w="11900" w:h="16838" w:orient="portrait"/>
          <w:cols w:equalWidth="0" w:num="2">
            <w:col w:w="3780" w:space="720"/>
            <w:col w:w="6340"/>
          </w:cols>
          <w:pgMar w:left="320" w:top="323" w:right="7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Update</w:t>
      </w:r>
    </w:p>
    <w:p>
      <w:pPr>
        <w:spacing w:after="0" w:line="206" w:lineRule="exact"/>
        <w:rPr>
          <w:sz w:val="20"/>
          <w:szCs w:val="20"/>
          <w:color w:val="auto"/>
        </w:rPr>
      </w:pPr>
    </w:p>
    <w:p>
      <w:pPr>
        <w:sectPr>
          <w:pgSz w:w="11900" w:h="16838" w:orient="portrait"/>
          <w:cols w:equalWidth="0" w:num="2">
            <w:col w:w="3780" w:space="720"/>
            <w:col w:w="6340"/>
          </w:cols>
          <w:pgMar w:left="320" w:top="323" w:right="7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222" w:lineRule="exact"/>
        <w:rPr>
          <w:sz w:val="20"/>
          <w:szCs w:val="20"/>
          <w:color w:val="auto"/>
        </w:rPr>
      </w:pPr>
    </w:p>
    <w:p>
      <w:pPr>
        <w:sectPr>
          <w:pgSz w:w="11900" w:h="16838" w:orient="portrait"/>
          <w:cols w:equalWidth="0" w:num="2">
            <w:col w:w="3780" w:space="720"/>
            <w:col w:w="6340"/>
          </w:cols>
          <w:pgMar w:left="320" w:top="323"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23" w:right="7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Disclaimer Regarding Forward-looking Statements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impact of the global pandemic on our business, future capital expenditures, ongoing working capital efforts, future share repurchases, financial results (including our revenue, costs or margins), the impact of changes to tax laws on our financial results, existing and evolving business strategies and acquisitions and dispositions, including the sale of Willis Re to Arthur J. Gallagher &amp; Co. (‘Gallagher’), demand for our services and competitive strengths, goals, the benefits of new initiatives, growth of our business and operations, our ability to successfully manage ongoing leadership, organizational and technology changes, including investments in improving systems and processes, our ability to implement and realize anticipated benefits of any cost-savings initiatives including the multi-year operational Transformation program, and plans and references to future successes, including our future financial and operating results, plans, objectives, expectations and intentions are forward-looking statements. Also, when we use words such as ‘may,’ ‘will,’ ‘would,’ ‘anticipate,’ ‘believe,’ ‘estimate,’ ‘expect,’ ‘intend,’ ‘plan,’ ‘continues,’ ‘seek,’ ‘target,’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76"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establish, execute and achieve our global business strategy as it evolves;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fully realize anticipated benefits of our growth strategy;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deploy cost-mitigation measures and achieve longer-term offsets;</w:t>
      </w:r>
    </w:p>
    <w:p>
      <w:pPr>
        <w:spacing w:after="0" w:line="116" w:lineRule="exact"/>
        <w:rPr>
          <w:rFonts w:ascii="Arial" w:cs="Arial" w:eastAsia="Arial" w:hAnsi="Arial"/>
          <w:sz w:val="18"/>
          <w:szCs w:val="18"/>
          <w:color w:val="auto"/>
        </w:rPr>
      </w:pPr>
    </w:p>
    <w:p>
      <w:pPr>
        <w:ind w:left="760" w:right="44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related to changes in general economic (including a possible recession), business and political conditions, including changes in the financial markets and inflation;</w:t>
      </w:r>
    </w:p>
    <w:p>
      <w:pPr>
        <w:spacing w:after="0" w:line="62" w:lineRule="exact"/>
        <w:rPr>
          <w:rFonts w:ascii="Arial" w:cs="Arial" w:eastAsia="Arial" w:hAnsi="Arial"/>
          <w:sz w:val="18"/>
          <w:szCs w:val="18"/>
          <w:color w:val="auto"/>
        </w:rPr>
      </w:pPr>
    </w:p>
    <w:p>
      <w:pPr>
        <w:ind w:left="760" w:right="40" w:hanging="378"/>
        <w:spacing w:after="0" w:line="302"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to our business, financial condition, results of operations, and long-term goals that may be materially adversely affected by any negative impact on the global economy and capital markets resulting from or related to inflation, the military conflict between Russia and Ukraine or any other geopolitical tensions and the withdrawal from our high-margin businesses in Russia and our ability to achieve cost-mitigation measures;</w:t>
      </w:r>
    </w:p>
    <w:p>
      <w:pPr>
        <w:spacing w:after="0" w:line="33"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hedge against fluctuations in foreign currency rates;</w:t>
      </w:r>
    </w:p>
    <w:p>
      <w:pPr>
        <w:spacing w:after="0" w:line="103" w:lineRule="exact"/>
        <w:rPr>
          <w:rFonts w:ascii="Arial" w:cs="Arial" w:eastAsia="Arial" w:hAnsi="Arial"/>
          <w:sz w:val="18"/>
          <w:szCs w:val="18"/>
          <w:color w:val="auto"/>
        </w:rPr>
      </w:pPr>
    </w:p>
    <w:p>
      <w:pPr>
        <w:ind w:left="760" w:hanging="378"/>
        <w:spacing w:after="0" w:line="24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relating to the adverse impacts of the ongoing COVID-19 pandemic, including supply chain, workforce availability, vaccination rates, new or emerging variants and further social-distancing orders in jurisdictions where we do business, on the demand for our products and services, our cash flows and our business operations, including increased demand on our information technology resources and systems and related risks of cybersecurity breaches or incidents;</w:t>
      </w:r>
    </w:p>
    <w:p>
      <w:pPr>
        <w:spacing w:after="0" w:line="88" w:lineRule="exact"/>
        <w:rPr>
          <w:rFonts w:ascii="Arial" w:cs="Arial" w:eastAsia="Arial" w:hAnsi="Arial"/>
          <w:sz w:val="18"/>
          <w:szCs w:val="18"/>
          <w:color w:val="auto"/>
        </w:rPr>
      </w:pPr>
    </w:p>
    <w:p>
      <w:pPr>
        <w:ind w:left="760" w:right="34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relating to the sale of Willis Re to Gallagher, including incremental business, operational and regulatory risks created by transitional arrangements and pending transactions;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that we face and the potential for loss of market share and/or profitability;</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seasonality and differences in timing of renewals and non-recurring revenue increases from disposals and book-of-business sales;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failure to protect client data or breaches of information systems or insufficient safeguards against cybersecurity breaches or incidents;</w:t>
      </w:r>
    </w:p>
    <w:p>
      <w:pPr>
        <w:spacing w:after="0" w:line="114"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complex and evolving regulations related to data privacy and cybersecurity;</w:t>
      </w:r>
    </w:p>
    <w:p>
      <w:pPr>
        <w:spacing w:after="0" w:line="116" w:lineRule="exact"/>
        <w:rPr>
          <w:rFonts w:ascii="Arial" w:cs="Arial" w:eastAsia="Arial" w:hAnsi="Arial"/>
          <w:sz w:val="18"/>
          <w:szCs w:val="18"/>
          <w:color w:val="auto"/>
        </w:rPr>
      </w:pPr>
    </w:p>
    <w:p>
      <w:pPr>
        <w:ind w:left="760" w:right="52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increased liability or new legal claims arising from our new and existing products and services, and expectations, intentions and outcomes relating to outstanding litigation;</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substantial negative outcomes on existing litigation or investigation matters;</w:t>
      </w:r>
    </w:p>
    <w:p>
      <w:pPr>
        <w:spacing w:after="0" w:line="116" w:lineRule="exact"/>
        <w:rPr>
          <w:rFonts w:ascii="Arial" w:cs="Arial" w:eastAsia="Arial" w:hAnsi="Arial"/>
          <w:sz w:val="18"/>
          <w:szCs w:val="18"/>
          <w:color w:val="auto"/>
        </w:rPr>
      </w:pPr>
    </w:p>
    <w:p>
      <w:pPr>
        <w:ind w:left="760" w:right="4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environment in which we operate, including, among other risks, the impacts of pending competition law and regulatory investigations;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various claims, government inquiries or investigations or the potential for regulatory action;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divestitures or acquisitions and our ability to integrate or manage such acquired businesses;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direct-to-consumer sales and marketing solutions with our existing offerings and solutions;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ongoing organizational changes, including investments in improving systems and processes;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disasters or business continuity problems;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impact of Brexit;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enhance our billing, collection and other working capital efforts, and thereby increase our free cash flow;</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anticipated replacement of the London Interbank Offered Rate (‘LIBOR’);</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identify and manage conflicts of interest;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reputational damage, including from association with third parties;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third-party services;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changes in our management structures and in senior leadership;</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employees or a large number of employees and any rehiring;</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doing business internationally, including the impact of exchange rates;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extensive government regulation;</w:t>
      </w:r>
    </w:p>
    <w:p>
      <w:pPr>
        <w:spacing w:after="0" w:line="103"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sanctions imposed by governments, or changes to associated sanction regulations (such as sanctions imposed on Russia) and related counter-sanctions;</w:t>
      </w:r>
    </w:p>
    <w:p>
      <w:pPr>
        <w:spacing w:after="0" w:line="48"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apply technology, data and analytics changes for internal operations, maintaining industry standards and meeting client preferences;</w:t>
      </w:r>
    </w:p>
    <w:p>
      <w:pPr>
        <w:spacing w:after="0" w:line="75"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and developments in the insurance industry or the U.S. healthcare system, including those related to Medicare and any legislative actions from the current U.S. Congress;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protect our intellectual property rights, or the potential infringement upon the intellectual property rights of others;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pension assets and liabilities;</w:t>
      </w:r>
    </w:p>
    <w:p>
      <w:pPr>
        <w:spacing w:after="0" w:line="103"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capital structure, including indebtedness amounts, the limitations imposed by the covenants in the documents governing such indebtedness and the maintenance of the financial and disclosure controls and procedures of each;</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on favorable terms or at all;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credit ratings;</w:t>
      </w:r>
    </w:p>
    <w:p>
      <w:pPr>
        <w:spacing w:after="0" w:line="103" w:lineRule="exact"/>
        <w:rPr>
          <w:rFonts w:ascii="Arial" w:cs="Arial" w:eastAsia="Arial" w:hAnsi="Arial"/>
          <w:sz w:val="18"/>
          <w:szCs w:val="18"/>
          <w:color w:val="auto"/>
        </w:rPr>
      </w:pPr>
    </w:p>
    <w:p>
      <w:pPr>
        <w:jc w:val="both"/>
        <w:ind w:left="760" w:right="80" w:hanging="378"/>
        <w:spacing w:after="0" w:line="25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recent or potential changes to U.S. or foreign laws and the enactment of additional, or the revision of existing, state, federal, and/or foreign laws and regulations, recent judicial decisions and the development of case law, other regulations and any policy changes and legislative actions, including the impact of such changes on our effective tax rate;</w:t>
      </w:r>
    </w:p>
    <w:p>
      <w:pPr>
        <w:spacing w:after="0" w:line="68"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federal income tax consequences to U.S. persons owning at least 10% of our shares;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principles, estimates or assumptions;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or arising from environmental, social, and governance (‘ESG’) practices;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 in revenue against our relatively fixed or higher than expected expenses;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laws of Ireland being different from the laws of the U.S. and potentially affording less protections to the holders of our securities; and</w:t>
      </w:r>
    </w:p>
    <w:p>
      <w:pPr>
        <w:spacing w:after="0" w:line="128" w:lineRule="exact"/>
        <w:rPr>
          <w:rFonts w:ascii="Arial" w:cs="Arial" w:eastAsia="Arial" w:hAnsi="Arial"/>
          <w:sz w:val="17"/>
          <w:szCs w:val="17"/>
          <w:color w:val="auto"/>
        </w:rPr>
      </w:pPr>
    </w:p>
    <w:p>
      <w:pPr>
        <w:ind w:left="760" w:right="14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holding company structure potentially preventing us from being able to receive dividends or other distributions in needed amounts from our subsidiaries.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5" w:name="page6"/>
    <w:bookmarkEnd w:id="5"/>
    <w:p>
      <w:pPr>
        <w:spacing w:after="0" w:line="248" w:lineRule="auto"/>
        <w:rPr>
          <w:sz w:val="20"/>
          <w:szCs w:val="20"/>
          <w:color w:val="auto"/>
        </w:rPr>
      </w:pPr>
      <w:r>
        <w:rPr>
          <w:rFonts w:ascii="Arial" w:cs="Arial" w:eastAsia="Arial" w:hAnsi="Arial"/>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3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1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U.S. dollars, except per share data)</w:t>
      </w:r>
    </w:p>
    <w:p>
      <w:pPr>
        <w:jc w:val="center"/>
        <w:spacing w:after="0"/>
        <w:rPr>
          <w:sz w:val="20"/>
          <w:szCs w:val="20"/>
          <w:color w:val="auto"/>
        </w:rPr>
      </w:pPr>
      <w:r>
        <w:rPr>
          <w:rFonts w:ascii="Arial" w:cs="Arial" w:eastAsia="Arial" w:hAnsi="Arial"/>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1,953</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1,973</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6,144</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6,292</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Costs of providing services</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benefits</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8"/>
              </w:rPr>
              <w:t>1,225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1,255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8"/>
              </w:rPr>
              <w:t>3,802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3,991</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7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1,263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1,169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Transaction and transformation, net</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(952 )</w:t>
            </w: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(877 )</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costs of providing services</w:t>
            </w: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1,799</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5,674</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4,780</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1,131</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1,512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55"/>
        </w:trPr>
        <w:tc>
          <w:tcPr>
            <w:tcW w:w="58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FROM CONTINUING OPERATIONS BEFORE</w:t>
            </w: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1,186</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1,968</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(267 )</w:t>
            </w: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1,582</w:t>
            </w:r>
          </w:p>
        </w:tc>
        <w:tc>
          <w:tcPr>
            <w:tcW w:w="0" w:type="dxa"/>
            <w:vAlign w:val="bottom"/>
          </w:tcPr>
          <w:p>
            <w:pPr>
              <w:spacing w:after="0"/>
              <w:rPr>
                <w:sz w:val="1"/>
                <w:szCs w:val="1"/>
                <w:color w:val="auto"/>
              </w:rPr>
            </w:pPr>
          </w:p>
        </w:tc>
      </w:tr>
      <w:tr>
        <w:trPr>
          <w:trHeight w:val="162"/>
        </w:trPr>
        <w:tc>
          <w:tcPr>
            <w:tcW w:w="5820" w:type="dxa"/>
            <w:vAlign w:val="bottom"/>
          </w:tcPr>
          <w:p>
            <w:pPr>
              <w:ind w:left="20"/>
              <w:spacing w:after="0" w:line="162" w:lineRule="exact"/>
              <w:rPr>
                <w:sz w:val="20"/>
                <w:szCs w:val="20"/>
                <w:color w:val="auto"/>
              </w:rPr>
            </w:pPr>
            <w:r>
              <w:rPr>
                <w:rFonts w:ascii="Arial" w:cs="Arial" w:eastAsia="Arial" w:hAnsi="Arial"/>
                <w:sz w:val="18"/>
                <w:szCs w:val="18"/>
                <w:color w:val="auto"/>
              </w:rPr>
              <w:t>INCOME/(LOSS) FROM DISCONTINUED OPERATIONS,</w:t>
            </w:r>
          </w:p>
        </w:tc>
        <w:tc>
          <w:tcPr>
            <w:tcW w:w="720" w:type="dxa"/>
            <w:vAlign w:val="bottom"/>
          </w:tcPr>
          <w:p>
            <w:pPr>
              <w:spacing w:after="0"/>
              <w:rPr>
                <w:sz w:val="14"/>
                <w:szCs w:val="14"/>
                <w:color w:val="auto"/>
              </w:rPr>
            </w:pPr>
          </w:p>
        </w:tc>
        <w:tc>
          <w:tcPr>
            <w:tcW w:w="540" w:type="dxa"/>
            <w:vAlign w:val="bottom"/>
            <w:vMerge w:val="restart"/>
          </w:tcPr>
          <w:p>
            <w:pPr>
              <w:jc w:val="right"/>
              <w:ind w:right="31"/>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582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1,829</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WTW</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1,820</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per share</w:t>
            </w: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1.65</w:t>
            </w:r>
          </w:p>
        </w:tc>
        <w:tc>
          <w:tcPr>
            <w:tcW w:w="8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spacing w:after="0"/>
              <w:rPr>
                <w:sz w:val="18"/>
                <w:szCs w:val="18"/>
                <w:color w:val="auto"/>
              </w:rPr>
            </w:pP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12.14</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Income/(loss) from discontinued operations per share</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(0.09 )</w:t>
            </w: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(0.24 )</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 earnings per share</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1.72</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7.01</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14.04</w:t>
            </w: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Diluted earnings per share:</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per share</w:t>
            </w: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1.65</w:t>
            </w:r>
          </w:p>
        </w:tc>
        <w:tc>
          <w:tcPr>
            <w:tcW w:w="8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18"/>
                <w:szCs w:val="18"/>
                <w:color w:val="auto"/>
              </w:rPr>
            </w:pP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12.10</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Income/(loss) from discontinued operations per share</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(0.09 )</w:t>
            </w: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(0.24 )</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 earnings per share</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1.72</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6.99</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14.00</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(loss)/income before non-controlling interests</w:t>
            </w: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8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(103 )</w:t>
            </w:r>
          </w:p>
        </w:tc>
        <w:tc>
          <w:tcPr>
            <w:tcW w:w="84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1,831</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(loss)/income attributable to WTW</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822</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1,820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-4803140</wp:posOffset>
            </wp:positionV>
            <wp:extent cx="939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-4803140</wp:posOffset>
            </wp:positionV>
            <wp:extent cx="8572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-4803140</wp:posOffset>
            </wp:positionV>
            <wp:extent cx="8572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-3689985</wp:posOffset>
            </wp:positionV>
            <wp:extent cx="939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-3689985</wp:posOffset>
            </wp:positionV>
            <wp:extent cx="8572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-3689985</wp:posOffset>
            </wp:positionV>
            <wp:extent cx="8572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-2045970</wp:posOffset>
            </wp:positionV>
            <wp:extent cx="184086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40865" cy="16256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-1189355</wp:posOffset>
            </wp:positionV>
            <wp:extent cx="184086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40865" cy="16256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-607060</wp:posOffset>
            </wp:positionV>
            <wp:extent cx="184086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40865" cy="16256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-24765</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-7620</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color w:val="auto"/>
        </w:rPr>
        <w:t>(In millions of U.S. dollars, except share data)</w:t>
      </w:r>
    </w:p>
    <w:p>
      <w:pPr>
        <w:jc w:val="center"/>
        <w:ind w:right="80"/>
        <w:spacing w:after="0"/>
        <w:rPr>
          <w:sz w:val="20"/>
          <w:szCs w:val="20"/>
          <w:color w:val="auto"/>
        </w:rPr>
      </w:pPr>
      <w:r>
        <w:rPr>
          <w:rFonts w:ascii="Arial" w:cs="Arial" w:eastAsia="Arial" w:hAnsi="Arial"/>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9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1,496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4,486</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Fiduciary assets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11,190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11,014</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1,884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2,370</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612</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Current assets held for sale</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r>
      <w:tr>
        <w:trPr>
          <w:trHeight w:val="209"/>
        </w:trPr>
        <w:tc>
          <w:tcPr>
            <w:tcW w:w="77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15,051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18,488</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Fixed assets, net</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851</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10,089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10,183</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2,314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2,555</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720</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Pension benefits assets</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971</w:t>
            </w: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1,244</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1,202</w:t>
            </w:r>
          </w:p>
        </w:tc>
      </w:tr>
      <w:tr>
        <w:trPr>
          <w:trHeight w:val="209"/>
        </w:trPr>
        <w:tc>
          <w:tcPr>
            <w:tcW w:w="7700" w:type="dxa"/>
            <w:vAlign w:val="bottom"/>
          </w:tcPr>
          <w:p>
            <w:pPr>
              <w:ind w:left="30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15,940</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16,482</w:t>
            </w: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30,991</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34,970</w:t>
            </w: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LIABILITIES AND EQUITY</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Fiduciary liabilities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11,190</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11,014</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Deferred revenue and accrued expenses</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1,640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1,926</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debt</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613</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Current lease liabilities</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150</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1,015</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Current liabilities held for sale</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r>
      <w:tr>
        <w:trPr>
          <w:trHeight w:val="209"/>
        </w:trPr>
        <w:tc>
          <w:tcPr>
            <w:tcW w:w="77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14,122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14,724</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4,470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3,974</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Liability for pension benefits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757</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845</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liabilities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375</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Long-term lease liabilities</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734</w:t>
            </w: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203</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253</w:t>
            </w:r>
          </w:p>
        </w:tc>
      </w:tr>
      <w:tr>
        <w:trPr>
          <w:trHeight w:val="209"/>
        </w:trPr>
        <w:tc>
          <w:tcPr>
            <w:tcW w:w="7700" w:type="dxa"/>
            <w:vAlign w:val="bottom"/>
          </w:tcPr>
          <w:p>
            <w:pPr>
              <w:ind w:left="30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6,956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6,938</w:t>
            </w: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21,078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21,662</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4"/>
                <w:szCs w:val="24"/>
                <w:color w:val="auto"/>
                <w:vertAlign w:val="superscript"/>
              </w:rPr>
              <w:t>(i)</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10,855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10,804</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4,645</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(2,720 )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(2,186 )</w:t>
            </w: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Treasury shares, at cost, 17,519 shares in 2022 and 2021</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09"/>
        </w:trPr>
        <w:tc>
          <w:tcPr>
            <w:tcW w:w="7700" w:type="dxa"/>
            <w:vAlign w:val="bottom"/>
          </w:tcPr>
          <w:p>
            <w:pPr>
              <w:ind w:left="200"/>
              <w:spacing w:after="0"/>
              <w:rPr>
                <w:sz w:val="20"/>
                <w:szCs w:val="20"/>
                <w:color w:val="auto"/>
              </w:rPr>
            </w:pPr>
            <w:r>
              <w:rPr>
                <w:rFonts w:ascii="Arial" w:cs="Arial" w:eastAsia="Arial" w:hAnsi="Arial"/>
                <w:sz w:val="18"/>
                <w:szCs w:val="18"/>
                <w:color w:val="auto"/>
              </w:rPr>
              <w:t>Total WTW shareholders’ equity</w:t>
            </w:r>
          </w:p>
        </w:tc>
        <w:tc>
          <w:tcPr>
            <w:tcW w:w="2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9,838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13,260</w:t>
            </w: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w:t>
            </w:r>
          </w:p>
        </w:tc>
      </w:tr>
      <w:tr>
        <w:trPr>
          <w:trHeight w:val="209"/>
        </w:trPr>
        <w:tc>
          <w:tcPr>
            <w:tcW w:w="770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9,913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13,308</w:t>
            </w: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30,991</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-3955415</wp:posOffset>
            </wp:positionV>
            <wp:extent cx="11112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-3663950</wp:posOffset>
            </wp:positionV>
            <wp:extent cx="11112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-1711960</wp:posOffset>
            </wp:positionV>
            <wp:extent cx="11112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-598805</wp:posOffset>
            </wp:positionV>
            <wp:extent cx="11112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-316230</wp:posOffset>
            </wp:positionV>
            <wp:extent cx="1111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ind w:left="280" w:right="400" w:hanging="272"/>
        <w:spacing w:after="0" w:line="272" w:lineRule="auto"/>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Equity includes (a) Ordinary shares $0.000304635 nominal value; Authorized 1,510,003,775; Issued 108,662,482 (2022) and 122,055,815 (2021); Outstanding 108,662,482 (2022) and 122,055,815 (2021) and (b) Preference shares, $0.000115 nominal value; Authorized 1,000,000,000 and Issued none in 2022 and 2021.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ind w:left="3200"/>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color w:val="auto"/>
        </w:rPr>
        <w:t>(In millions of U.S. dollars)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8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209"/>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431</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1,829</w:t>
            </w:r>
          </w:p>
        </w:tc>
      </w:tr>
      <w:tr>
        <w:trPr>
          <w:trHeight w:val="216"/>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to total net cash from operating activities: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212</w:t>
            </w:r>
          </w:p>
        </w:tc>
      </w:tr>
      <w:tr>
        <w:trPr>
          <w:trHeight w:val="216"/>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286</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restructuring charges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108</w:t>
            </w:r>
          </w:p>
        </w:tc>
      </w:tr>
      <w:tr>
        <w:trPr>
          <w:trHeight w:val="216"/>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periodic benefit of defined benefit pension plans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(125 )</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Provision for doubtful receivables from clients</w:t>
            </w: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r>
      <w:tr>
        <w:trPr>
          <w:trHeight w:val="216"/>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from)/provision for deferred income taxes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w:t>
            </w:r>
          </w:p>
        </w:tc>
      </w:tr>
      <w:tr>
        <w:trPr>
          <w:trHeight w:val="216"/>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loss/(gain) on disposal of operations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(380 )</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Non-cash foreign exchange gain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16"/>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174"/>
        </w:trPr>
        <w:tc>
          <w:tcPr>
            <w:tcW w:w="8560" w:type="dxa"/>
            <w:vAlign w:val="bottom"/>
          </w:tcPr>
          <w:p>
            <w:pPr>
              <w:ind w:left="200"/>
              <w:spacing w:after="0" w:line="175" w:lineRule="exact"/>
              <w:rPr>
                <w:sz w:val="20"/>
                <w:szCs w:val="20"/>
                <w:color w:val="auto"/>
              </w:rPr>
            </w:pPr>
            <w:r>
              <w:rPr>
                <w:rFonts w:ascii="Arial" w:cs="Arial" w:eastAsia="Arial" w:hAnsi="Arial"/>
                <w:sz w:val="18"/>
                <w:szCs w:val="18"/>
                <w:color w:val="auto"/>
              </w:rPr>
              <w:t>Changes in operating assets and liabilities, net of effects from purchase of</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175</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216"/>
        </w:trPr>
        <w:tc>
          <w:tcPr>
            <w:tcW w:w="8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(199 )</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Provisions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r>
      <w:tr>
        <w:trPr>
          <w:trHeight w:val="209"/>
        </w:trPr>
        <w:tc>
          <w:tcPr>
            <w:tcW w:w="8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from operating activities</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437</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1,877</w:t>
            </w:r>
          </w:p>
        </w:tc>
      </w:tr>
      <w:tr>
        <w:trPr>
          <w:trHeight w:val="209"/>
        </w:trPr>
        <w:tc>
          <w:tcPr>
            <w:tcW w:w="8560" w:type="dxa"/>
            <w:vAlign w:val="bottom"/>
          </w:tcPr>
          <w:p>
            <w:pPr>
              <w:ind w:left="20"/>
              <w:spacing w:after="0"/>
              <w:rPr>
                <w:sz w:val="20"/>
                <w:szCs w:val="20"/>
                <w:color w:val="auto"/>
              </w:rPr>
            </w:pPr>
            <w:r>
              <w:rPr>
                <w:rFonts w:ascii="Arial" w:cs="Arial" w:eastAsia="Arial" w:hAnsi="Arial"/>
                <w:sz w:val="18"/>
                <w:szCs w:val="18"/>
                <w:color w:val="auto"/>
              </w:rPr>
              <w:t>CASH FLOWS (USED IN)/FROM INVESTING ACTIVITIES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Additions to fixed assets and software for internal use</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w:t>
            </w: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Capitalized software costs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16"/>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Acquisitions of operations, net of cash acquired</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Proceeds from sale of operations</w:t>
            </w: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726</w:t>
            </w:r>
          </w:p>
        </w:tc>
      </w:tr>
      <w:tr>
        <w:trPr>
          <w:trHeight w:val="216"/>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fiduciary funds transferred in sale of operations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(216 )</w:t>
            </w: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Sale of investments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09"/>
        </w:trPr>
        <w:tc>
          <w:tcPr>
            <w:tcW w:w="8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in)/from investing activities</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361</w:t>
            </w:r>
          </w:p>
        </w:tc>
      </w:tr>
      <w:tr>
        <w:trPr>
          <w:trHeight w:val="209"/>
        </w:trPr>
        <w:tc>
          <w:tcPr>
            <w:tcW w:w="8560" w:type="dxa"/>
            <w:vAlign w:val="bottom"/>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Senior notes issued</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Repayments of debt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(970 )</w:t>
            </w: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Repurchase of shares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(3,090 )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16"/>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shares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Net proceeds from fiduciary funds held for clients</w:t>
            </w: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w:t>
            </w:r>
          </w:p>
        </w:tc>
      </w:tr>
      <w:tr>
        <w:trPr>
          <w:trHeight w:val="216"/>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deferred and contingent consideration related to acquisitions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Cash paid for employee taxes on withholding shares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16"/>
        </w:trPr>
        <w:tc>
          <w:tcPr>
            <w:tcW w:w="8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(275 )</w:t>
            </w: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Acquisitions of and dividends paid to non-controlling interests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09"/>
        </w:trPr>
        <w:tc>
          <w:tcPr>
            <w:tcW w:w="8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(3,109 )</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(2,256 )</w:t>
            </w:r>
          </w:p>
        </w:tc>
      </w:tr>
      <w:tr>
        <w:trPr>
          <w:trHeight w:val="209"/>
        </w:trPr>
        <w:tc>
          <w:tcPr>
            <w:tcW w:w="8560" w:type="dxa"/>
            <w:vAlign w:val="bottom"/>
          </w:tcPr>
          <w:p>
            <w:pPr>
              <w:ind w:left="20"/>
              <w:spacing w:after="0" w:line="209" w:lineRule="exact"/>
              <w:rPr>
                <w:sz w:val="20"/>
                <w:szCs w:val="20"/>
                <w:color w:val="auto"/>
              </w:rPr>
            </w:pPr>
            <w:r>
              <w:rPr>
                <w:rFonts w:ascii="Arial" w:cs="Arial" w:eastAsia="Arial" w:hAnsi="Arial"/>
                <w:sz w:val="18"/>
                <w:szCs w:val="18"/>
                <w:color w:val="auto"/>
              </w:rPr>
              <w:t xml:space="preserve">DECREASE IN CASH, CASH EQUIVALENTS AND RESTRICTED CASH </w:t>
            </w:r>
            <w:r>
              <w:rPr>
                <w:rFonts w:ascii="Arial" w:cs="Arial" w:eastAsia="Arial" w:hAnsi="Arial"/>
                <w:sz w:val="24"/>
                <w:szCs w:val="24"/>
                <w:color w:val="auto"/>
                <w:vertAlign w:val="superscript"/>
              </w:rPr>
              <w:t>(i)</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(2,730 )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16"/>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(99 )</w:t>
            </w:r>
          </w:p>
        </w:tc>
      </w:tr>
      <w:tr>
        <w:trPr>
          <w:trHeight w:val="216"/>
        </w:trPr>
        <w:tc>
          <w:tcPr>
            <w:tcW w:w="856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CASH, CASH EQUIVALENTS AND RESTRICTED CASH, BEGINNING OF PERIOD </w:t>
            </w:r>
            <w:r>
              <w:rPr>
                <w:rFonts w:ascii="Arial" w:cs="Arial" w:eastAsia="Arial" w:hAnsi="Arial"/>
                <w:sz w:val="24"/>
                <w:szCs w:val="24"/>
                <w:color w:val="auto"/>
                <w:vertAlign w:val="superscript"/>
              </w:rPr>
              <w:t>(i)</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7,691</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6,301</w:t>
            </w:r>
          </w:p>
        </w:tc>
      </w:tr>
      <w:tr>
        <w:trPr>
          <w:trHeight w:val="249"/>
        </w:trPr>
        <w:tc>
          <w:tcPr>
            <w:tcW w:w="8560" w:type="dxa"/>
            <w:vAlign w:val="bottom"/>
            <w:tcBorders>
              <w:bottom w:val="single" w:sz="8" w:color="CFF0FC"/>
            </w:tcBorders>
            <w:shd w:val="clear" w:color="auto" w:fill="CFF0FC"/>
          </w:tcPr>
          <w:p>
            <w:pPr>
              <w:ind w:left="20"/>
              <w:spacing w:after="0" w:line="209"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4"/>
                <w:szCs w:val="24"/>
                <w:color w:val="auto"/>
                <w:vertAlign w:val="superscript"/>
              </w:rPr>
              <w:t>(i)</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4,671</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6229985</wp:posOffset>
            </wp:positionH>
            <wp:positionV relativeFrom="paragraph">
              <wp:posOffset>-3364230</wp:posOffset>
            </wp:positionV>
            <wp:extent cx="11112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-2251075</wp:posOffset>
            </wp:positionV>
            <wp:extent cx="11112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-589915</wp:posOffset>
            </wp:positionV>
            <wp:extent cx="11112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ind w:left="280" w:right="160" w:hanging="272"/>
        <w:spacing w:after="0" w:line="333" w:lineRule="auto"/>
        <w:tabs>
          <w:tab w:leader="none" w:pos="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 Supplemental Disclosures of Cash Flow Information.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jc w:val="center"/>
        <w:spacing w:after="0"/>
        <w:rPr>
          <w:sz w:val="20"/>
          <w:szCs w:val="20"/>
          <w:color w:val="auto"/>
        </w:rPr>
      </w:pPr>
      <w:r>
        <w:rPr>
          <w:rFonts w:ascii="Arial" w:cs="Arial" w:eastAsia="Arial" w:hAnsi="Arial"/>
          <w:sz w:val="16"/>
          <w:szCs w:val="16"/>
          <w:color w:val="auto"/>
        </w:rPr>
        <w:t>(In millions of U.S. dollars and number of shares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120" w:type="dxa"/>
            <w:vAlign w:val="bottom"/>
            <w:gridSpan w:val="7"/>
          </w:tcPr>
          <w:p>
            <w:pPr>
              <w:ind w:left="40"/>
              <w:spacing w:after="0"/>
              <w:rPr>
                <w:sz w:val="20"/>
                <w:szCs w:val="20"/>
                <w:color w:val="auto"/>
              </w:rPr>
            </w:pPr>
            <w:r>
              <w:rPr>
                <w:rFonts w:ascii="Arial" w:cs="Arial" w:eastAsia="Arial" w:hAnsi="Arial"/>
                <w:sz w:val="12"/>
                <w:szCs w:val="12"/>
                <w:b w:val="1"/>
                <w:bCs w:val="1"/>
                <w:color w:val="auto"/>
                <w:w w:val="90"/>
              </w:rPr>
              <w:t>Nine Months Ended September 30, 2022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31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3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right="137"/>
              <w:spacing w:after="0" w:line="109" w:lineRule="exact"/>
              <w:rPr>
                <w:sz w:val="20"/>
                <w:szCs w:val="20"/>
                <w:color w:val="auto"/>
              </w:rPr>
            </w:pPr>
            <w:r>
              <w:rPr>
                <w:rFonts w:ascii="Arial" w:cs="Arial" w:eastAsia="Arial" w:hAnsi="Arial"/>
                <w:sz w:val="12"/>
                <w:szCs w:val="12"/>
                <w:color w:val="auto"/>
                <w:w w:val="93"/>
              </w:rPr>
              <w:t>Total WTW</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900" w:type="dxa"/>
            <w:vAlign w:val="bottom"/>
          </w:tcPr>
          <w:p>
            <w:pPr>
              <w:jc w:val="right"/>
              <w:ind w:right="317"/>
              <w:spacing w:after="0" w:line="122" w:lineRule="exact"/>
              <w:rPr>
                <w:sz w:val="20"/>
                <w:szCs w:val="20"/>
                <w:color w:val="auto"/>
              </w:rPr>
            </w:pPr>
            <w:r>
              <w:rPr>
                <w:rFonts w:ascii="Arial" w:cs="Arial" w:eastAsia="Arial" w:hAnsi="Arial"/>
                <w:sz w:val="12"/>
                <w:szCs w:val="12"/>
                <w:color w:val="auto"/>
              </w:rPr>
              <w:t>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17"/>
              <w:spacing w:after="0" w:line="122" w:lineRule="exact"/>
              <w:rPr>
                <w:sz w:val="20"/>
                <w:szCs w:val="20"/>
                <w:color w:val="auto"/>
              </w:rPr>
            </w:pPr>
            <w:r>
              <w:rPr>
                <w:rFonts w:ascii="Arial" w:cs="Arial" w:eastAsia="Arial" w:hAnsi="Arial"/>
                <w:sz w:val="12"/>
                <w:szCs w:val="12"/>
                <w:color w:val="auto"/>
                <w:w w:val="94"/>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257"/>
              <w:spacing w:after="0" w:line="122" w:lineRule="exact"/>
              <w:rPr>
                <w:sz w:val="20"/>
                <w:szCs w:val="20"/>
                <w:color w:val="auto"/>
              </w:rPr>
            </w:pPr>
            <w:r>
              <w:rPr>
                <w:rFonts w:ascii="Arial" w:cs="Arial" w:eastAsia="Arial" w:hAnsi="Arial"/>
                <w:sz w:val="12"/>
                <w:szCs w:val="12"/>
                <w:color w:val="auto"/>
                <w:w w:val="91"/>
              </w:rPr>
              <w:t>Retained</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color w:val="auto"/>
              </w:rPr>
              <w:t xml:space="preserve">AOCL </w:t>
            </w:r>
            <w:r>
              <w:rPr>
                <w:rFonts w:ascii="Arial" w:cs="Arial" w:eastAsia="Arial" w:hAnsi="Arial"/>
                <w:sz w:val="15"/>
                <w:szCs w:val="15"/>
                <w:color w:val="auto"/>
                <w:vertAlign w:val="superscript"/>
              </w:rPr>
              <w:t>(i)</w:t>
            </w:r>
          </w:p>
        </w:tc>
        <w:tc>
          <w:tcPr>
            <w:tcW w:w="880" w:type="dxa"/>
            <w:vAlign w:val="bottom"/>
            <w:gridSpan w:val="2"/>
          </w:tcPr>
          <w:p>
            <w:pPr>
              <w:jc w:val="center"/>
              <w:ind w:right="57"/>
              <w:spacing w:after="0" w:line="122" w:lineRule="exact"/>
              <w:rPr>
                <w:sz w:val="20"/>
                <w:szCs w:val="20"/>
                <w:color w:val="auto"/>
              </w:rPr>
            </w:pPr>
            <w:r>
              <w:rPr>
                <w:rFonts w:ascii="Arial" w:cs="Arial" w:eastAsia="Arial" w:hAnsi="Arial"/>
                <w:sz w:val="12"/>
                <w:szCs w:val="12"/>
                <w:color w:val="auto"/>
                <w:w w:val="88"/>
              </w:rPr>
              <w:t>shareholders’</w:t>
            </w:r>
          </w:p>
        </w:tc>
        <w:tc>
          <w:tcPr>
            <w:tcW w:w="120" w:type="dxa"/>
            <w:vAlign w:val="bottom"/>
          </w:tcPr>
          <w:p>
            <w:pPr>
              <w:spacing w:after="0"/>
              <w:rPr>
                <w:sz w:val="10"/>
                <w:szCs w:val="10"/>
                <w:color w:val="auto"/>
              </w:rPr>
            </w:pPr>
          </w:p>
        </w:tc>
        <w:tc>
          <w:tcPr>
            <w:tcW w:w="940" w:type="dxa"/>
            <w:vAlign w:val="bottom"/>
            <w:gridSpan w:val="2"/>
          </w:tcPr>
          <w:p>
            <w:pPr>
              <w:jc w:val="right"/>
              <w:ind w:right="97"/>
              <w:spacing w:after="0" w:line="122" w:lineRule="exact"/>
              <w:rPr>
                <w:sz w:val="20"/>
                <w:szCs w:val="20"/>
                <w:color w:val="auto"/>
              </w:rPr>
            </w:pPr>
            <w:r>
              <w:rPr>
                <w:rFonts w:ascii="Arial" w:cs="Arial" w:eastAsia="Arial" w:hAnsi="Arial"/>
                <w:sz w:val="12"/>
                <w:szCs w:val="12"/>
                <w:color w:val="auto"/>
                <w:w w:val="94"/>
              </w:rPr>
              <w:t>Non-controlling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900" w:type="dxa"/>
            <w:vAlign w:val="bottom"/>
          </w:tcPr>
          <w:p>
            <w:pPr>
              <w:jc w:val="right"/>
              <w:ind w:right="177"/>
              <w:spacing w:after="0"/>
              <w:rPr>
                <w:sz w:val="20"/>
                <w:szCs w:val="20"/>
                <w:color w:val="auto"/>
              </w:rPr>
            </w:pPr>
            <w:r>
              <w:rPr>
                <w:rFonts w:ascii="Arial" w:cs="Arial" w:eastAsia="Arial" w:hAnsi="Arial"/>
                <w:sz w:val="12"/>
                <w:szCs w:val="12"/>
                <w:color w:val="auto"/>
              </w:rPr>
              <w:t>outstanding</w:t>
            </w:r>
          </w:p>
        </w:tc>
        <w:tc>
          <w:tcPr>
            <w:tcW w:w="120" w:type="dxa"/>
            <w:vAlign w:val="bottom"/>
          </w:tcPr>
          <w:p>
            <w:pPr>
              <w:spacing w:after="0"/>
              <w:rPr>
                <w:sz w:val="13"/>
                <w:szCs w:val="13"/>
                <w:color w:val="auto"/>
              </w:rPr>
            </w:pPr>
          </w:p>
        </w:tc>
        <w:tc>
          <w:tcPr>
            <w:tcW w:w="900" w:type="dxa"/>
            <w:vAlign w:val="bottom"/>
            <w:gridSpan w:val="2"/>
          </w:tcPr>
          <w:p>
            <w:pPr>
              <w:jc w:val="right"/>
              <w:ind w:right="117"/>
              <w:spacing w:after="0"/>
              <w:rPr>
                <w:sz w:val="20"/>
                <w:szCs w:val="20"/>
                <w:color w:val="auto"/>
              </w:rPr>
            </w:pPr>
            <w:r>
              <w:rPr>
                <w:rFonts w:ascii="Arial" w:cs="Arial" w:eastAsia="Arial" w:hAnsi="Arial"/>
                <w:sz w:val="12"/>
                <w:szCs w:val="12"/>
                <w:color w:val="auto"/>
                <w:w w:val="94"/>
              </w:rPr>
              <w:t>paid-in 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257"/>
              <w:spacing w:after="0"/>
              <w:rPr>
                <w:sz w:val="20"/>
                <w:szCs w:val="20"/>
                <w:color w:val="auto"/>
              </w:rPr>
            </w:pPr>
            <w:r>
              <w:rPr>
                <w:rFonts w:ascii="Arial" w:cs="Arial" w:eastAsia="Arial" w:hAnsi="Arial"/>
                <w:sz w:val="12"/>
                <w:szCs w:val="12"/>
                <w:color w:val="auto"/>
                <w:w w:val="95"/>
              </w:rPr>
              <w:t>earnings</w:t>
            </w:r>
          </w:p>
        </w:tc>
        <w:tc>
          <w:tcPr>
            <w:tcW w:w="120" w:type="dxa"/>
            <w:vAlign w:val="bottom"/>
          </w:tcPr>
          <w:p>
            <w:pPr>
              <w:spacing w:after="0"/>
              <w:rPr>
                <w:sz w:val="13"/>
                <w:szCs w:val="13"/>
                <w:color w:val="auto"/>
              </w:rPr>
            </w:pPr>
          </w:p>
        </w:tc>
        <w:tc>
          <w:tcPr>
            <w:tcW w:w="940" w:type="dxa"/>
            <w:vAlign w:val="bottom"/>
            <w:gridSpan w:val="2"/>
          </w:tcPr>
          <w:p>
            <w:pPr>
              <w:jc w:val="right"/>
              <w:ind w:right="97"/>
              <w:spacing w:after="0"/>
              <w:rPr>
                <w:sz w:val="20"/>
                <w:szCs w:val="20"/>
                <w:color w:val="auto"/>
              </w:rPr>
            </w:pPr>
            <w:r>
              <w:rPr>
                <w:rFonts w:ascii="Arial" w:cs="Arial" w:eastAsia="Arial" w:hAnsi="Arial"/>
                <w:sz w:val="12"/>
                <w:szCs w:val="12"/>
                <w:color w:val="auto"/>
                <w:w w:val="87"/>
              </w:rPr>
              <w:t>Treasury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17"/>
              <w:spacing w:after="0"/>
              <w:rPr>
                <w:sz w:val="20"/>
                <w:szCs w:val="20"/>
                <w:color w:val="auto"/>
              </w:rPr>
            </w:pPr>
            <w:r>
              <w:rPr>
                <w:rFonts w:ascii="Arial" w:cs="Arial" w:eastAsia="Arial" w:hAnsi="Arial"/>
                <w:sz w:val="12"/>
                <w:szCs w:val="12"/>
                <w:color w:val="auto"/>
                <w:w w:val="93"/>
              </w:rPr>
              <w:t>equity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57"/>
              <w:spacing w:after="0"/>
              <w:rPr>
                <w:sz w:val="20"/>
                <w:szCs w:val="20"/>
                <w:color w:val="auto"/>
              </w:rPr>
            </w:pPr>
            <w:r>
              <w:rPr>
                <w:rFonts w:ascii="Arial" w:cs="Arial" w:eastAsia="Arial" w:hAnsi="Arial"/>
                <w:sz w:val="12"/>
                <w:szCs w:val="12"/>
                <w:color w:val="auto"/>
              </w:rPr>
              <w:t>interests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77"/>
              <w:spacing w:after="0"/>
              <w:rPr>
                <w:sz w:val="20"/>
                <w:szCs w:val="20"/>
                <w:color w:val="auto"/>
              </w:rPr>
            </w:pPr>
            <w:r>
              <w:rPr>
                <w:rFonts w:ascii="Arial" w:cs="Arial" w:eastAsia="Arial" w:hAnsi="Arial"/>
                <w:sz w:val="12"/>
                <w:szCs w:val="12"/>
                <w:color w:val="auto"/>
                <w:w w:val="93"/>
              </w:rPr>
              <w:t>Total equity</w:t>
            </w:r>
          </w:p>
        </w:tc>
        <w:tc>
          <w:tcPr>
            <w:tcW w:w="0" w:type="dxa"/>
            <w:vAlign w:val="bottom"/>
          </w:tcPr>
          <w:p>
            <w:pPr>
              <w:spacing w:after="0"/>
              <w:rPr>
                <w:sz w:val="1"/>
                <w:szCs w:val="1"/>
                <w:color w:val="auto"/>
              </w:rPr>
            </w:pPr>
          </w:p>
        </w:tc>
      </w:tr>
      <w:tr>
        <w:trPr>
          <w:trHeight w:val="155"/>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December 31, 2021</w:t>
            </w:r>
          </w:p>
        </w:tc>
        <w:tc>
          <w:tcPr>
            <w:tcW w:w="90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122,056</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10,804</w:t>
            </w: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4,645</w:t>
            </w:r>
          </w:p>
        </w:tc>
        <w:tc>
          <w:tcPr>
            <w:tcW w:w="12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ind w:right="238"/>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(2,186 )</w:t>
            </w: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13,260</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13,308</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900" w:type="dxa"/>
            <w:vAlign w:val="bottom"/>
          </w:tcPr>
          <w:p>
            <w:pPr>
              <w:jc w:val="right"/>
              <w:spacing w:after="0"/>
              <w:rPr>
                <w:sz w:val="20"/>
                <w:szCs w:val="20"/>
                <w:color w:val="auto"/>
              </w:rPr>
            </w:pPr>
            <w:r>
              <w:rPr>
                <w:rFonts w:ascii="Arial" w:cs="Arial" w:eastAsia="Arial" w:hAnsi="Arial"/>
                <w:sz w:val="13"/>
                <w:szCs w:val="13"/>
                <w:color w:val="auto"/>
              </w:rPr>
              <w:t>(9,860 )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(2,250 )</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(2,250 )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(2,250 )</w:t>
            </w:r>
          </w:p>
        </w:tc>
        <w:tc>
          <w:tcPr>
            <w:tcW w:w="0" w:type="dxa"/>
            <w:vAlign w:val="bottom"/>
          </w:tcPr>
          <w:p>
            <w:pPr>
              <w:spacing w:after="0"/>
              <w:rPr>
                <w:sz w:val="1"/>
                <w:szCs w:val="1"/>
                <w:color w:val="auto"/>
              </w:rPr>
            </w:pPr>
          </w:p>
        </w:tc>
      </w:tr>
      <w:tr>
        <w:trPr>
          <w:trHeight w:val="164"/>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Dividends declared ($0.82 per share)</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(94 )</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64"/>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(56 )</w:t>
            </w:r>
          </w:p>
        </w:tc>
        <w:tc>
          <w:tcPr>
            <w:tcW w:w="0" w:type="dxa"/>
            <w:vAlign w:val="bottom"/>
          </w:tcPr>
          <w:p>
            <w:pPr>
              <w:spacing w:after="0"/>
              <w:rPr>
                <w:sz w:val="1"/>
                <w:szCs w:val="1"/>
                <w:color w:val="auto"/>
              </w:rPr>
            </w:pPr>
          </w:p>
        </w:tc>
      </w:tr>
      <w:tr>
        <w:trPr>
          <w:trHeight w:val="122"/>
        </w:trPr>
        <w:tc>
          <w:tcPr>
            <w:tcW w:w="318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Issuance of shares under employee stock</w:t>
            </w: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4"/>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 of non-controlling interests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8"/>
        </w:trPr>
        <w:tc>
          <w:tcPr>
            <w:tcW w:w="318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9"/>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March 31, 2022</w:t>
            </w:r>
          </w:p>
        </w:tc>
        <w:tc>
          <w:tcPr>
            <w:tcW w:w="90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112,213</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10,826</w:t>
            </w: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2,423</w:t>
            </w:r>
          </w:p>
        </w:tc>
        <w:tc>
          <w:tcPr>
            <w:tcW w:w="12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ind w:right="238"/>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(2,242 )</w:t>
            </w: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11,004</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11,075</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900" w:type="dxa"/>
            <w:vAlign w:val="bottom"/>
          </w:tcPr>
          <w:p>
            <w:pPr>
              <w:jc w:val="right"/>
              <w:spacing w:after="0"/>
              <w:rPr>
                <w:sz w:val="20"/>
                <w:szCs w:val="20"/>
                <w:color w:val="auto"/>
              </w:rPr>
            </w:pPr>
            <w:r>
              <w:rPr>
                <w:rFonts w:ascii="Arial" w:cs="Arial" w:eastAsia="Arial" w:hAnsi="Arial"/>
                <w:sz w:val="13"/>
                <w:szCs w:val="13"/>
                <w:color w:val="auto"/>
              </w:rPr>
              <w:t>(2,144 )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(471 )</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(471 )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(471 )</w:t>
            </w:r>
          </w:p>
        </w:tc>
        <w:tc>
          <w:tcPr>
            <w:tcW w:w="0" w:type="dxa"/>
            <w:vAlign w:val="bottom"/>
          </w:tcPr>
          <w:p>
            <w:pPr>
              <w:spacing w:after="0"/>
              <w:rPr>
                <w:sz w:val="1"/>
                <w:szCs w:val="1"/>
                <w:color w:val="auto"/>
              </w:rPr>
            </w:pPr>
          </w:p>
        </w:tc>
      </w:tr>
      <w:tr>
        <w:trPr>
          <w:trHeight w:val="164"/>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Dividends declared ($0.82 per share)</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(90 )</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(90 )</w:t>
            </w:r>
          </w:p>
        </w:tc>
        <w:tc>
          <w:tcPr>
            <w:tcW w:w="0" w:type="dxa"/>
            <w:vAlign w:val="bottom"/>
          </w:tcPr>
          <w:p>
            <w:pPr>
              <w:spacing w:after="0"/>
              <w:rPr>
                <w:sz w:val="1"/>
                <w:szCs w:val="1"/>
                <w:color w:val="auto"/>
              </w:rPr>
            </w:pPr>
          </w:p>
        </w:tc>
      </w:tr>
      <w:tr>
        <w:trPr>
          <w:trHeight w:val="164"/>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(244 )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(244 )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(244 )</w:t>
            </w:r>
          </w:p>
        </w:tc>
        <w:tc>
          <w:tcPr>
            <w:tcW w:w="0" w:type="dxa"/>
            <w:vAlign w:val="bottom"/>
          </w:tcPr>
          <w:p>
            <w:pPr>
              <w:spacing w:after="0"/>
              <w:rPr>
                <w:sz w:val="1"/>
                <w:szCs w:val="1"/>
                <w:color w:val="auto"/>
              </w:rPr>
            </w:pPr>
          </w:p>
        </w:tc>
      </w:tr>
      <w:tr>
        <w:trPr>
          <w:trHeight w:val="122"/>
        </w:trPr>
        <w:tc>
          <w:tcPr>
            <w:tcW w:w="318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Issuance of shares under employee stock</w:t>
            </w: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4"/>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Sale of non-controlling interests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8"/>
        </w:trPr>
        <w:tc>
          <w:tcPr>
            <w:tcW w:w="318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9"/>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June 30, 2022</w:t>
            </w:r>
          </w:p>
        </w:tc>
        <w:tc>
          <w:tcPr>
            <w:tcW w:w="90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110,096</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10,855</w:t>
            </w: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1,971</w:t>
            </w:r>
          </w:p>
        </w:tc>
        <w:tc>
          <w:tcPr>
            <w:tcW w:w="12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ind w:right="238"/>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(2,486 )</w:t>
            </w: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10,337</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10,417</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900" w:type="dxa"/>
            <w:vAlign w:val="bottom"/>
          </w:tcPr>
          <w:p>
            <w:pPr>
              <w:jc w:val="right"/>
              <w:spacing w:after="0"/>
              <w:rPr>
                <w:sz w:val="20"/>
                <w:szCs w:val="20"/>
                <w:color w:val="auto"/>
              </w:rPr>
            </w:pPr>
            <w:r>
              <w:rPr>
                <w:rFonts w:ascii="Arial" w:cs="Arial" w:eastAsia="Arial" w:hAnsi="Arial"/>
                <w:sz w:val="13"/>
                <w:szCs w:val="13"/>
                <w:color w:val="auto"/>
              </w:rPr>
              <w:t>(1,789 )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(369 )</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(369 )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(369 )</w:t>
            </w:r>
          </w:p>
        </w:tc>
        <w:tc>
          <w:tcPr>
            <w:tcW w:w="0" w:type="dxa"/>
            <w:vAlign w:val="bottom"/>
          </w:tcPr>
          <w:p>
            <w:pPr>
              <w:spacing w:after="0"/>
              <w:rPr>
                <w:sz w:val="1"/>
                <w:szCs w:val="1"/>
                <w:color w:val="auto"/>
              </w:rPr>
            </w:pPr>
          </w:p>
        </w:tc>
      </w:tr>
      <w:tr>
        <w:trPr>
          <w:trHeight w:val="164"/>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190</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Dividends declared ($0.82 per share)</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(86 )</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(86 )</w:t>
            </w:r>
          </w:p>
        </w:tc>
        <w:tc>
          <w:tcPr>
            <w:tcW w:w="0" w:type="dxa"/>
            <w:vAlign w:val="bottom"/>
          </w:tcPr>
          <w:p>
            <w:pPr>
              <w:spacing w:after="0"/>
              <w:rPr>
                <w:sz w:val="1"/>
                <w:szCs w:val="1"/>
                <w:color w:val="auto"/>
              </w:rPr>
            </w:pPr>
          </w:p>
        </w:tc>
      </w:tr>
      <w:tr>
        <w:trPr>
          <w:trHeight w:val="164"/>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(234 )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(234 )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(234 )</w:t>
            </w:r>
          </w:p>
        </w:tc>
        <w:tc>
          <w:tcPr>
            <w:tcW w:w="0" w:type="dxa"/>
            <w:vAlign w:val="bottom"/>
          </w:tcPr>
          <w:p>
            <w:pPr>
              <w:spacing w:after="0"/>
              <w:rPr>
                <w:sz w:val="1"/>
                <w:szCs w:val="1"/>
                <w:color w:val="auto"/>
              </w:rPr>
            </w:pPr>
          </w:p>
        </w:tc>
      </w:tr>
      <w:tr>
        <w:trPr>
          <w:trHeight w:val="122"/>
        </w:trPr>
        <w:tc>
          <w:tcPr>
            <w:tcW w:w="318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Issuance of shares under employee stock</w:t>
            </w: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355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64"/>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 of remaining non-controlling interests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318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99"/>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September 30, 2022</w:t>
            </w:r>
          </w:p>
        </w:tc>
        <w:tc>
          <w:tcPr>
            <w:tcW w:w="90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108,662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10,855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1,706</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238"/>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(2,720 )</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9,838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9,913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9"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Accumulated other comprehensive loss, net of tax (‘AOCL’).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jc w:val="center"/>
        <w:spacing w:after="0" w:line="228" w:lineRule="auto"/>
        <w:rPr>
          <w:sz w:val="20"/>
          <w:szCs w:val="20"/>
          <w:color w:val="auto"/>
        </w:rPr>
      </w:pPr>
      <w:r>
        <w:rPr>
          <w:rFonts w:ascii="Arial" w:cs="Arial" w:eastAsia="Arial" w:hAnsi="Arial"/>
          <w:sz w:val="16"/>
          <w:szCs w:val="16"/>
          <w:color w:val="auto"/>
        </w:rPr>
        <w:t>(In millions of U.S. dollars and number of shares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40" w:type="dxa"/>
            <w:vAlign w:val="bottom"/>
            <w:gridSpan w:val="6"/>
          </w:tcPr>
          <w:p>
            <w:pPr>
              <w:jc w:val="right"/>
              <w:spacing w:after="0"/>
              <w:rPr>
                <w:sz w:val="20"/>
                <w:szCs w:val="20"/>
                <w:color w:val="auto"/>
              </w:rPr>
            </w:pPr>
            <w:r>
              <w:rPr>
                <w:rFonts w:ascii="Arial" w:cs="Arial" w:eastAsia="Arial" w:hAnsi="Arial"/>
                <w:sz w:val="12"/>
                <w:szCs w:val="12"/>
                <w:b w:val="1"/>
                <w:bCs w:val="1"/>
                <w:color w:val="auto"/>
                <w:w w:val="88"/>
              </w:rPr>
              <w:t>Nine Months Ended September 30, 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right="157"/>
              <w:spacing w:after="0" w:line="109" w:lineRule="exact"/>
              <w:rPr>
                <w:sz w:val="20"/>
                <w:szCs w:val="20"/>
                <w:color w:val="auto"/>
              </w:rPr>
            </w:pPr>
            <w:r>
              <w:rPr>
                <w:rFonts w:ascii="Arial" w:cs="Arial" w:eastAsia="Arial" w:hAnsi="Arial"/>
                <w:sz w:val="12"/>
                <w:szCs w:val="12"/>
                <w:color w:val="auto"/>
                <w:w w:val="89"/>
              </w:rPr>
              <w:t>Total WTW</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900" w:type="dxa"/>
            <w:vAlign w:val="bottom"/>
          </w:tcPr>
          <w:p>
            <w:pPr>
              <w:jc w:val="right"/>
              <w:ind w:right="317"/>
              <w:spacing w:after="0" w:line="122" w:lineRule="exact"/>
              <w:rPr>
                <w:sz w:val="20"/>
                <w:szCs w:val="20"/>
                <w:color w:val="auto"/>
              </w:rPr>
            </w:pPr>
            <w:r>
              <w:rPr>
                <w:rFonts w:ascii="Arial" w:cs="Arial" w:eastAsia="Arial" w:hAnsi="Arial"/>
                <w:sz w:val="12"/>
                <w:szCs w:val="12"/>
                <w:color w:val="auto"/>
              </w:rPr>
              <w:t>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17"/>
              <w:spacing w:after="0" w:line="122" w:lineRule="exact"/>
              <w:rPr>
                <w:sz w:val="20"/>
                <w:szCs w:val="20"/>
                <w:color w:val="auto"/>
              </w:rPr>
            </w:pPr>
            <w:r>
              <w:rPr>
                <w:rFonts w:ascii="Arial" w:cs="Arial" w:eastAsia="Arial" w:hAnsi="Arial"/>
                <w:sz w:val="12"/>
                <w:szCs w:val="12"/>
                <w:color w:val="auto"/>
                <w:w w:val="94"/>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237"/>
              <w:spacing w:after="0" w:line="122" w:lineRule="exact"/>
              <w:rPr>
                <w:sz w:val="20"/>
                <w:szCs w:val="20"/>
                <w:color w:val="auto"/>
              </w:rPr>
            </w:pPr>
            <w:r>
              <w:rPr>
                <w:rFonts w:ascii="Arial" w:cs="Arial" w:eastAsia="Arial" w:hAnsi="Arial"/>
                <w:sz w:val="12"/>
                <w:szCs w:val="12"/>
                <w:color w:val="auto"/>
                <w:w w:val="91"/>
              </w:rPr>
              <w:t>Retained</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2"/>
                <w:szCs w:val="12"/>
                <w:color w:val="auto"/>
                <w:w w:val="97"/>
              </w:rPr>
              <w:t xml:space="preserve">AOCL </w:t>
            </w:r>
            <w:r>
              <w:rPr>
                <w:rFonts w:ascii="Arial" w:cs="Arial" w:eastAsia="Arial" w:hAnsi="Arial"/>
                <w:sz w:val="15"/>
                <w:szCs w:val="15"/>
                <w:color w:val="auto"/>
                <w:w w:val="97"/>
                <w:vertAlign w:val="superscript"/>
              </w:rPr>
              <w:t>(i)</w:t>
            </w:r>
          </w:p>
        </w:tc>
        <w:tc>
          <w:tcPr>
            <w:tcW w:w="120" w:type="dxa"/>
            <w:vAlign w:val="bottom"/>
          </w:tcPr>
          <w:p>
            <w:pPr>
              <w:spacing w:after="0"/>
              <w:rPr>
                <w:sz w:val="10"/>
                <w:szCs w:val="10"/>
                <w:color w:val="auto"/>
              </w:rPr>
            </w:pPr>
          </w:p>
        </w:tc>
        <w:tc>
          <w:tcPr>
            <w:tcW w:w="880" w:type="dxa"/>
            <w:vAlign w:val="bottom"/>
            <w:gridSpan w:val="2"/>
          </w:tcPr>
          <w:p>
            <w:pPr>
              <w:jc w:val="center"/>
              <w:ind w:right="77"/>
              <w:spacing w:after="0" w:line="122" w:lineRule="exact"/>
              <w:rPr>
                <w:sz w:val="20"/>
                <w:szCs w:val="20"/>
                <w:color w:val="auto"/>
              </w:rPr>
            </w:pPr>
            <w:r>
              <w:rPr>
                <w:rFonts w:ascii="Arial" w:cs="Arial" w:eastAsia="Arial" w:hAnsi="Arial"/>
                <w:sz w:val="12"/>
                <w:szCs w:val="12"/>
                <w:color w:val="auto"/>
                <w:w w:val="86"/>
              </w:rPr>
              <w:t>shareholders’</w:t>
            </w:r>
          </w:p>
        </w:tc>
        <w:tc>
          <w:tcPr>
            <w:tcW w:w="120" w:type="dxa"/>
            <w:vAlign w:val="bottom"/>
          </w:tcPr>
          <w:p>
            <w:pPr>
              <w:spacing w:after="0"/>
              <w:rPr>
                <w:sz w:val="10"/>
                <w:szCs w:val="10"/>
                <w:color w:val="auto"/>
              </w:rPr>
            </w:pPr>
          </w:p>
        </w:tc>
        <w:tc>
          <w:tcPr>
            <w:tcW w:w="900" w:type="dxa"/>
            <w:vAlign w:val="bottom"/>
            <w:gridSpan w:val="2"/>
          </w:tcPr>
          <w:p>
            <w:pPr>
              <w:spacing w:after="0" w:line="122" w:lineRule="exact"/>
              <w:rPr>
                <w:sz w:val="20"/>
                <w:szCs w:val="20"/>
                <w:color w:val="auto"/>
              </w:rPr>
            </w:pPr>
            <w:r>
              <w:rPr>
                <w:rFonts w:ascii="Arial" w:cs="Arial" w:eastAsia="Arial" w:hAnsi="Arial"/>
                <w:sz w:val="12"/>
                <w:szCs w:val="12"/>
                <w:color w:val="auto"/>
              </w:rPr>
              <w:t>Non-controlling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13"/>
                <w:szCs w:val="13"/>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color w:val="auto"/>
              </w:rPr>
              <w:t>outstanding</w:t>
            </w:r>
          </w:p>
        </w:tc>
        <w:tc>
          <w:tcPr>
            <w:tcW w:w="12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2"/>
                <w:szCs w:val="12"/>
                <w:color w:val="auto"/>
                <w:w w:val="94"/>
              </w:rPr>
              <w:t>paid-in capital</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2"/>
                <w:szCs w:val="12"/>
                <w:color w:val="auto"/>
                <w:w w:val="95"/>
              </w:rPr>
              <w:t>earnings</w:t>
            </w:r>
          </w:p>
        </w:tc>
        <w:tc>
          <w:tcPr>
            <w:tcW w:w="14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2"/>
                <w:szCs w:val="12"/>
                <w:color w:val="auto"/>
                <w:w w:val="87"/>
              </w:rPr>
              <w:t>Treasury 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17"/>
              <w:spacing w:after="0"/>
              <w:rPr>
                <w:sz w:val="20"/>
                <w:szCs w:val="20"/>
                <w:color w:val="auto"/>
              </w:rPr>
            </w:pPr>
            <w:r>
              <w:rPr>
                <w:rFonts w:ascii="Arial" w:cs="Arial" w:eastAsia="Arial" w:hAnsi="Arial"/>
                <w:sz w:val="12"/>
                <w:szCs w:val="12"/>
                <w:color w:val="auto"/>
                <w:w w:val="93"/>
              </w:rPr>
              <w:t>equity</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2"/>
                <w:szCs w:val="12"/>
                <w:color w:val="auto"/>
                <w:w w:val="96"/>
              </w:rPr>
              <w:t>interests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color w:val="auto"/>
                <w:w w:val="93"/>
              </w:rPr>
              <w:t>Total equity</w:t>
            </w:r>
          </w:p>
        </w:tc>
        <w:tc>
          <w:tcPr>
            <w:tcW w:w="0" w:type="dxa"/>
            <w:vAlign w:val="bottom"/>
          </w:tcPr>
          <w:p>
            <w:pPr>
              <w:spacing w:after="0"/>
              <w:rPr>
                <w:sz w:val="1"/>
                <w:szCs w:val="1"/>
                <w:color w:val="auto"/>
              </w:rPr>
            </w:pPr>
          </w:p>
        </w:tc>
      </w:tr>
      <w:tr>
        <w:trPr>
          <w:trHeight w:val="155"/>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December 31, 2020</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128,965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10,748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2,434</w:t>
            </w: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66"/>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(2,359 )</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10,820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10,932</w:t>
            </w:r>
          </w:p>
        </w:tc>
        <w:tc>
          <w:tcPr>
            <w:tcW w:w="0" w:type="dxa"/>
            <w:vAlign w:val="bottom"/>
          </w:tcPr>
          <w:p>
            <w:pPr>
              <w:spacing w:after="0"/>
              <w:rPr>
                <w:sz w:val="1"/>
                <w:szCs w:val="1"/>
                <w:color w:val="auto"/>
              </w:rPr>
            </w:pPr>
          </w:p>
        </w:tc>
      </w:tr>
      <w:tr>
        <w:trPr>
          <w:trHeight w:val="160"/>
        </w:trPr>
        <w:tc>
          <w:tcPr>
            <w:tcW w:w="32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733</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164"/>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declared ($0.71 per share)</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(92 )</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(92 )</w:t>
            </w:r>
          </w:p>
        </w:tc>
        <w:tc>
          <w:tcPr>
            <w:tcW w:w="0" w:type="dxa"/>
            <w:vAlign w:val="bottom"/>
          </w:tcPr>
          <w:p>
            <w:pPr>
              <w:spacing w:after="0"/>
              <w:rPr>
                <w:sz w:val="1"/>
                <w:szCs w:val="1"/>
                <w:color w:val="auto"/>
              </w:rPr>
            </w:pPr>
          </w:p>
        </w:tc>
      </w:tr>
      <w:tr>
        <w:trPr>
          <w:trHeight w:val="160"/>
        </w:trPr>
        <w:tc>
          <w:tcPr>
            <w:tcW w:w="3200" w:type="dxa"/>
            <w:vAlign w:val="bottom"/>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164"/>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1" w:lineRule="exact"/>
              <w:rPr>
                <w:sz w:val="20"/>
                <w:szCs w:val="20"/>
                <w:color w:val="auto"/>
              </w:rPr>
            </w:pPr>
            <w:r>
              <w:rPr>
                <w:rFonts w:ascii="Arial" w:cs="Arial" w:eastAsia="Arial" w:hAnsi="Arial"/>
                <w:sz w:val="13"/>
                <w:szCs w:val="13"/>
                <w:color w:val="auto"/>
              </w:rPr>
              <w:t>Issuance of shares under employee stock</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00" w:type="dxa"/>
            <w:vAlign w:val="bottom"/>
          </w:tcPr>
          <w:p>
            <w:pPr>
              <w:ind w:left="120"/>
              <w:spacing w:after="0"/>
              <w:rPr>
                <w:sz w:val="20"/>
                <w:szCs w:val="20"/>
                <w:color w:val="auto"/>
              </w:rPr>
            </w:pPr>
            <w:r>
              <w:rPr>
                <w:rFonts w:ascii="Arial" w:cs="Arial" w:eastAsia="Arial" w:hAnsi="Arial"/>
                <w:sz w:val="13"/>
                <w:szCs w:val="13"/>
                <w:color w:val="auto"/>
              </w:rPr>
              <w:t>compensation plans</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9"/>
        </w:trPr>
        <w:tc>
          <w:tcPr>
            <w:tcW w:w="3200" w:type="dxa"/>
            <w:vAlign w:val="bottom"/>
          </w:tcPr>
          <w:p>
            <w:pPr>
              <w:ind w:left="20"/>
              <w:spacing w:after="0" w:line="139" w:lineRule="exact"/>
              <w:rPr>
                <w:sz w:val="20"/>
                <w:szCs w:val="20"/>
                <w:color w:val="auto"/>
              </w:rPr>
            </w:pPr>
            <w:r>
              <w:rPr>
                <w:rFonts w:ascii="Arial" w:cs="Arial" w:eastAsia="Arial" w:hAnsi="Arial"/>
                <w:sz w:val="13"/>
                <w:szCs w:val="13"/>
                <w:color w:val="auto"/>
              </w:rPr>
              <w:t>Share-based compensation and net settlements</w:t>
            </w:r>
          </w:p>
        </w:tc>
        <w:tc>
          <w:tcPr>
            <w:tcW w:w="900" w:type="dxa"/>
            <w:vAlign w:val="bottom"/>
          </w:tcPr>
          <w:p>
            <w:pPr>
              <w:jc w:val="right"/>
              <w:ind w:right="77"/>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77"/>
              <w:spacing w:after="0" w:line="139"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7"/>
              <w:spacing w:after="0" w:line="13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jc w:val="right"/>
              <w:ind w:right="57"/>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57"/>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57"/>
              <w:spacing w:after="0" w:line="139"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57"/>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57"/>
              <w:spacing w:after="0" w:line="139"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Arial" w:cs="Arial" w:eastAsia="Arial" w:hAnsi="Arial"/>
                <w:sz w:val="13"/>
                <w:szCs w:val="13"/>
                <w:color w:val="auto"/>
              </w:rPr>
              <w:t xml:space="preserve">Reduction of non-controlling interests </w:t>
            </w:r>
            <w:r>
              <w:rPr>
                <w:rFonts w:ascii="Arial" w:cs="Arial" w:eastAsia="Arial" w:hAnsi="Arial"/>
                <w:sz w:val="16"/>
                <w:szCs w:val="16"/>
                <w:color w:val="auto"/>
                <w:vertAlign w:val="superscript"/>
              </w:rPr>
              <w:t>(ii)</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160"/>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Foreign currency translation</w:t>
            </w:r>
          </w:p>
        </w:tc>
        <w:tc>
          <w:tcPr>
            <w:tcW w:w="9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320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128,974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10,765</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3,075</w:t>
            </w:r>
          </w:p>
        </w:tc>
        <w:tc>
          <w:tcPr>
            <w:tcW w:w="520" w:type="dxa"/>
            <w:vAlign w:val="bottom"/>
            <w:gridSpan w:val="2"/>
          </w:tcPr>
          <w:p>
            <w:pPr>
              <w:jc w:val="right"/>
              <w:ind w:right="26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(3 )</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(2,311 )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11,526</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48</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11,574</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184</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60"/>
        </w:trPr>
        <w:tc>
          <w:tcPr>
            <w:tcW w:w="3200" w:type="dxa"/>
            <w:vAlign w:val="bottom"/>
          </w:tcPr>
          <w:p>
            <w:pPr>
              <w:ind w:left="20"/>
              <w:spacing w:after="0"/>
              <w:rPr>
                <w:sz w:val="20"/>
                <w:szCs w:val="20"/>
                <w:color w:val="auto"/>
              </w:rPr>
            </w:pPr>
            <w:r>
              <w:rPr>
                <w:rFonts w:ascii="Arial" w:cs="Arial" w:eastAsia="Arial" w:hAnsi="Arial"/>
                <w:sz w:val="13"/>
                <w:szCs w:val="13"/>
                <w:color w:val="auto"/>
              </w:rPr>
              <w:t>Dividends declared ($0.71 per share)</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(93 )</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(93 )</w:t>
            </w:r>
          </w:p>
        </w:tc>
        <w:tc>
          <w:tcPr>
            <w:tcW w:w="0" w:type="dxa"/>
            <w:vAlign w:val="bottom"/>
          </w:tcPr>
          <w:p>
            <w:pPr>
              <w:spacing w:after="0"/>
              <w:rPr>
                <w:sz w:val="1"/>
                <w:szCs w:val="1"/>
                <w:color w:val="auto"/>
              </w:rPr>
            </w:pPr>
          </w:p>
        </w:tc>
      </w:tr>
      <w:tr>
        <w:trPr>
          <w:trHeight w:val="164"/>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60"/>
        </w:trPr>
        <w:tc>
          <w:tcPr>
            <w:tcW w:w="320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22"/>
        </w:trPr>
        <w:tc>
          <w:tcPr>
            <w:tcW w:w="320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Issuance of shares under employee stock</w:t>
            </w: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1" w:lineRule="exact"/>
              <w:rPr>
                <w:sz w:val="20"/>
                <w:szCs w:val="20"/>
                <w:color w:val="auto"/>
              </w:rPr>
            </w:pPr>
            <w:r>
              <w:rPr>
                <w:rFonts w:ascii="Arial" w:cs="Arial" w:eastAsia="Arial" w:hAnsi="Arial"/>
                <w:sz w:val="13"/>
                <w:szCs w:val="13"/>
                <w:color w:val="auto"/>
              </w:rPr>
              <w:t>Share-based compensation and net settlements</w:t>
            </w:r>
          </w:p>
        </w:tc>
        <w:tc>
          <w:tcPr>
            <w:tcW w:w="9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88"/>
        </w:trPr>
        <w:tc>
          <w:tcPr>
            <w:tcW w:w="3200" w:type="dxa"/>
            <w:vAlign w:val="bottom"/>
          </w:tcPr>
          <w:p>
            <w:pPr>
              <w:ind w:left="20"/>
              <w:spacing w:after="0"/>
              <w:rPr>
                <w:sz w:val="20"/>
                <w:szCs w:val="20"/>
                <w:color w:val="auto"/>
              </w:rPr>
            </w:pPr>
            <w:r>
              <w:rPr>
                <w:rFonts w:ascii="Arial" w:cs="Arial" w:eastAsia="Arial" w:hAnsi="Arial"/>
                <w:sz w:val="13"/>
                <w:szCs w:val="13"/>
                <w:color w:val="auto"/>
              </w:rPr>
              <w:t xml:space="preserve">Reduction of non-controlling interests </w:t>
            </w:r>
            <w:r>
              <w:rPr>
                <w:rFonts w:ascii="Arial" w:cs="Arial" w:eastAsia="Arial" w:hAnsi="Arial"/>
                <w:sz w:val="16"/>
                <w:szCs w:val="16"/>
                <w:color w:val="auto"/>
                <w:vertAlign w:val="superscript"/>
              </w:rPr>
              <w:t>(ii)</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128,988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10,785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3,166</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66"/>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(2,278 )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11,670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11,715</w:t>
            </w:r>
          </w:p>
        </w:tc>
        <w:tc>
          <w:tcPr>
            <w:tcW w:w="0" w:type="dxa"/>
            <w:vAlign w:val="bottom"/>
          </w:tcPr>
          <w:p>
            <w:pPr>
              <w:spacing w:after="0"/>
              <w:rPr>
                <w:sz w:val="1"/>
                <w:szCs w:val="1"/>
                <w:color w:val="auto"/>
              </w:rPr>
            </w:pPr>
          </w:p>
        </w:tc>
      </w:tr>
      <w:tr>
        <w:trPr>
          <w:trHeight w:val="160"/>
        </w:trPr>
        <w:tc>
          <w:tcPr>
            <w:tcW w:w="320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(4,456 )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(1,000 )</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64"/>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903</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903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60"/>
        </w:trPr>
        <w:tc>
          <w:tcPr>
            <w:tcW w:w="3200" w:type="dxa"/>
            <w:vAlign w:val="bottom"/>
          </w:tcPr>
          <w:p>
            <w:pPr>
              <w:ind w:left="20"/>
              <w:spacing w:after="0"/>
              <w:rPr>
                <w:sz w:val="20"/>
                <w:szCs w:val="20"/>
                <w:color w:val="auto"/>
              </w:rPr>
            </w:pPr>
            <w:r>
              <w:rPr>
                <w:rFonts w:ascii="Arial" w:cs="Arial" w:eastAsia="Arial" w:hAnsi="Arial"/>
                <w:sz w:val="13"/>
                <w:szCs w:val="13"/>
                <w:color w:val="auto"/>
              </w:rPr>
              <w:t>Dividends declared ($0.80 per share)</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(100 )</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64"/>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attributable to non-controlling interests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160"/>
        </w:trPr>
        <w:tc>
          <w:tcPr>
            <w:tcW w:w="32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(81 )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(81 )</w:t>
            </w:r>
          </w:p>
        </w:tc>
        <w:tc>
          <w:tcPr>
            <w:tcW w:w="0" w:type="dxa"/>
            <w:vAlign w:val="bottom"/>
          </w:tcPr>
          <w:p>
            <w:pPr>
              <w:spacing w:after="0"/>
              <w:rPr>
                <w:sz w:val="1"/>
                <w:szCs w:val="1"/>
                <w:color w:val="auto"/>
              </w:rPr>
            </w:pPr>
          </w:p>
        </w:tc>
      </w:tr>
      <w:tr>
        <w:trPr>
          <w:trHeight w:val="122"/>
        </w:trPr>
        <w:tc>
          <w:tcPr>
            <w:tcW w:w="320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Issuance of shares under employee stock</w:t>
            </w: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1" w:lineRule="exact"/>
              <w:rPr>
                <w:sz w:val="20"/>
                <w:szCs w:val="20"/>
                <w:color w:val="auto"/>
              </w:rPr>
            </w:pPr>
            <w:r>
              <w:rPr>
                <w:rFonts w:ascii="Arial" w:cs="Arial" w:eastAsia="Arial" w:hAnsi="Arial"/>
                <w:sz w:val="13"/>
                <w:szCs w:val="13"/>
                <w:color w:val="auto"/>
              </w:rPr>
              <w:t>Share-based compensation and net settlements</w:t>
            </w:r>
          </w:p>
        </w:tc>
        <w:tc>
          <w:tcPr>
            <w:tcW w:w="9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8"/>
        </w:trPr>
        <w:tc>
          <w:tcPr>
            <w:tcW w:w="3200" w:type="dxa"/>
            <w:vAlign w:val="bottom"/>
          </w:tcPr>
          <w:p>
            <w:pPr>
              <w:ind w:left="20"/>
              <w:spacing w:after="0"/>
              <w:rPr>
                <w:sz w:val="20"/>
                <w:szCs w:val="20"/>
                <w:color w:val="auto"/>
              </w:rPr>
            </w:pPr>
            <w:r>
              <w:rPr>
                <w:rFonts w:ascii="Arial" w:cs="Arial" w:eastAsia="Arial" w:hAnsi="Arial"/>
                <w:sz w:val="13"/>
                <w:szCs w:val="13"/>
                <w:color w:val="auto"/>
              </w:rPr>
              <w:t xml:space="preserve">Reduction of non-controlling interests </w:t>
            </w:r>
            <w:r>
              <w:rPr>
                <w:rFonts w:ascii="Arial" w:cs="Arial" w:eastAsia="Arial" w:hAnsi="Arial"/>
                <w:sz w:val="16"/>
                <w:szCs w:val="16"/>
                <w:color w:val="auto"/>
                <w:vertAlign w:val="superscript"/>
              </w:rPr>
              <w:t>(ii)</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September 30, 2021</w:t>
            </w:r>
          </w:p>
        </w:tc>
        <w:tc>
          <w:tcPr>
            <w:tcW w:w="9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124,596</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10,786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2,969</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66"/>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(2,359 )</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11,393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11,433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-2585085</wp:posOffset>
            </wp:positionV>
            <wp:extent cx="713232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-2277110</wp:posOffset>
            </wp:positionV>
            <wp:extent cx="7683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-2277110</wp:posOffset>
            </wp:positionV>
            <wp:extent cx="76835"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-2277110</wp:posOffset>
            </wp:positionV>
            <wp:extent cx="76835"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-2277110</wp:posOffset>
            </wp:positionV>
            <wp:extent cx="68580"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-2277110</wp:posOffset>
            </wp:positionV>
            <wp:extent cx="68580"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-2277110</wp:posOffset>
            </wp:positionV>
            <wp:extent cx="68580"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-2277110</wp:posOffset>
            </wp:positionV>
            <wp:extent cx="68580"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-1463675</wp:posOffset>
            </wp:positionV>
            <wp:extent cx="713232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9"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Accumulated other comprehensive loss, net of tax (‘AOCL’).</w:t>
      </w:r>
    </w:p>
    <w:p>
      <w:pPr>
        <w:spacing w:after="0" w:line="39" w:lineRule="exact"/>
        <w:rPr>
          <w:rFonts w:ascii="Arial" w:cs="Arial" w:eastAsia="Arial" w:hAnsi="Arial"/>
          <w:sz w:val="13"/>
          <w:szCs w:val="13"/>
          <w:color w:val="auto"/>
        </w:rPr>
      </w:pPr>
    </w:p>
    <w:p>
      <w:pPr>
        <w:ind w:left="280" w:hanging="272"/>
        <w:spacing w:after="0"/>
        <w:tabs>
          <w:tab w:leader="none" w:pos="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Attributable to the divestiture of businesses that are less than wholly-owned or the acquisition of shares previously owned by minority interest 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line="234" w:lineRule="auto"/>
        <w:rPr>
          <w:sz w:val="20"/>
          <w:szCs w:val="20"/>
          <w:color w:val="auto"/>
        </w:rPr>
      </w:pPr>
      <w:r>
        <w:rPr>
          <w:rFonts w:ascii="Arial" w:cs="Arial" w:eastAsia="Arial" w:hAnsi="Arial"/>
          <w:sz w:val="18"/>
          <w:szCs w:val="18"/>
          <w:color w:val="auto"/>
        </w:rPr>
        <w:t>(Tabular amounts in millions of U.S. dollars, except per share data)</w:t>
      </w: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0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Willis Towers Watson public limited company is a leading global advisory, broking and solutions company that provides data-driven, insight-led solutions in the areas of people, risk and capital. The Company has more than 44,000 colleagues serving more than 140 countries and markets.</w:t>
      </w:r>
    </w:p>
    <w:p>
      <w:pPr>
        <w:spacing w:after="0" w:line="10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design and deliver solutions that manage risk, optimize benefits, cultivate talent, and expand the power of capital to protect and strengthen institutions and individuals.</w:t>
      </w:r>
    </w:p>
    <w:p>
      <w:pPr>
        <w:spacing w:after="0" w:line="116"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Our risk management services include strategic risk consulting (including providing actuarial analysis), a variety of due diligence services, the provision of practical on-site risk control services (such as health and safety and property loss control consulting), advisory services, leading-edge technology solutions, and unparalleled analytical and modeling capabilities (such as hazard modeling). We also assist our clients with planning for addressing incidents or crises when they occur. These services include contingency planning, security audits and product tampering plans.</w:t>
      </w:r>
    </w:p>
    <w:p>
      <w:pPr>
        <w:spacing w:after="0" w:line="11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help our clients enhance business performance by delivering consulting services, technology and solutions that effectively deliver valuable benefits and create an engaging employee experience. Our services and solutions encompass such areas as employee benefits, total rewards, talent, wellbeing and benefits outsourcing. In addition, we provide investment advice to help our clients develop disciplined and efficient strategies to meet their investment goals and expand the power of capital.</w:t>
      </w:r>
    </w:p>
    <w:p>
      <w:pPr>
        <w:spacing w:after="0" w:line="14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unrestricted access to the global insurance market.</w:t>
      </w:r>
    </w:p>
    <w:p>
      <w:pPr>
        <w:spacing w:after="0" w:line="14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43" w:lineRule="exact"/>
        <w:rPr>
          <w:sz w:val="20"/>
          <w:szCs w:val="20"/>
          <w:color w:val="auto"/>
        </w:rPr>
      </w:pPr>
    </w:p>
    <w:p>
      <w:pPr>
        <w:ind w:right="900"/>
        <w:spacing w:after="0" w:line="290" w:lineRule="auto"/>
        <w:rPr>
          <w:sz w:val="20"/>
          <w:szCs w:val="20"/>
          <w:color w:val="auto"/>
        </w:rPr>
      </w:pPr>
      <w:r>
        <w:rPr>
          <w:rFonts w:ascii="Arial" w:cs="Arial" w:eastAsia="Arial" w:hAnsi="Arial"/>
          <w:sz w:val="17"/>
          <w:szCs w:val="17"/>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Reorganization</w:t>
      </w:r>
    </w:p>
    <w:p>
      <w:pPr>
        <w:spacing w:after="0" w:line="10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January 1, 2022, WTW realigned to provide its comprehensive offering of services and solutions to clients across two business segments: Health, Wealth &amp; Career (‘HWC’), and Risk &amp; Broking (‘R&amp;B’). These changes were made in conjunction with changes in the WTW leadership team, including the appointment of a new chief executive officer who succeeded the prior CEO as the chief operating decision maker on that date. Prior to January 1, 2022, we operated across four segments: Human Capital and Benefits; Corporate Risk and Broking; Investment, Risk and Reinsurance; and Benefits Delivery and Administration. Following the realignment, the two new segments consist of the following businesses:</w:t>
      </w:r>
    </w:p>
    <w:p>
      <w:pPr>
        <w:spacing w:after="0" w:line="59" w:lineRule="exact"/>
        <w:rPr>
          <w:sz w:val="20"/>
          <w:szCs w:val="20"/>
          <w:color w:val="auto"/>
        </w:rPr>
      </w:pPr>
    </w:p>
    <w:p>
      <w:pPr>
        <w:ind w:left="760" w:right="880" w:hanging="378"/>
        <w:spacing w:after="0" w:line="324"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HWC segment includes businesses previously aligned under the Human Capital and Benefits segment, the Benefits Delivery and Administration segment, and the Investment business, which was previously under the Investment, Risk and Reinsurance segment.</w:t>
      </w:r>
    </w:p>
    <w:p>
      <w:pPr>
        <w:spacing w:after="0" w:line="29" w:lineRule="exact"/>
        <w:rPr>
          <w:rFonts w:ascii="Arial" w:cs="Arial" w:eastAsia="Arial" w:hAnsi="Arial"/>
          <w:sz w:val="16"/>
          <w:szCs w:val="16"/>
          <w:color w:val="auto"/>
        </w:rPr>
      </w:pPr>
    </w:p>
    <w:p>
      <w:pPr>
        <w:ind w:left="760" w:right="22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R&amp;B segment includes businesses previously aligned under the Corporate Risk and Broking segment, as well as the Insurance Consulting and Technology business, which was previously under the Investment, Risk and Reinsurance segment.</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effective January 1, 2022, the Company manages its businesses across three geographical areas: North America, Europe (including Great Britain) and International.</w:t>
      </w:r>
    </w:p>
    <w:p>
      <w:pPr>
        <w:spacing w:after="0" w:line="10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Certain Investment, Risk and Reinsurance businesses that were part of the results from continuing operations in the prior-year period presented were divested during 2021. The revenue and income from operations for these businesses have been included as ‘divested businesses’ in the reconciliations between the total segment results and the consolidated results of the Company. However, the results of the divested Willis Re treaty-reinsurance business are presented as discontinued operations and are therefore excluded from the divested businesses presented in the segment reconciliations.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 xml:space="preserve">Segment results herein are presented on a retrospective basis to reflect the reorganization. See Note 4 </w:t>
      </w:r>
      <w:r>
        <w:rPr>
          <w:rFonts w:ascii="Arial" w:cs="Arial" w:eastAsia="Arial" w:hAnsi="Arial"/>
          <w:sz w:val="16"/>
          <w:szCs w:val="16"/>
          <w:b w:val="1"/>
          <w:bCs w:val="1"/>
          <w:color w:val="auto"/>
        </w:rPr>
        <w:t>—</w:t>
      </w:r>
      <w:r>
        <w:rPr>
          <w:rFonts w:ascii="Arial" w:cs="Arial" w:eastAsia="Arial" w:hAnsi="Arial"/>
          <w:sz w:val="16"/>
          <w:szCs w:val="16"/>
          <w:color w:val="auto"/>
        </w:rPr>
        <w:t xml:space="preserve"> Revenue, Note 5 </w:t>
      </w:r>
      <w:r>
        <w:rPr>
          <w:rFonts w:ascii="Arial" w:cs="Arial" w:eastAsia="Arial" w:hAnsi="Arial"/>
          <w:sz w:val="16"/>
          <w:szCs w:val="16"/>
          <w:b w:val="1"/>
          <w:bCs w:val="1"/>
          <w:color w:val="auto"/>
        </w:rPr>
        <w:t>—</w:t>
      </w:r>
      <w:r>
        <w:rPr>
          <w:rFonts w:ascii="Arial" w:cs="Arial" w:eastAsia="Arial" w:hAnsi="Arial"/>
          <w:sz w:val="16"/>
          <w:szCs w:val="16"/>
          <w:color w:val="auto"/>
        </w:rPr>
        <w:t xml:space="preserve"> Segment Information, Note 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Costs and Note 8</w:t>
      </w:r>
      <w:r>
        <w:rPr>
          <w:rFonts w:ascii="Arial" w:cs="Arial" w:eastAsia="Arial" w:hAnsi="Arial"/>
          <w:sz w:val="18"/>
          <w:szCs w:val="18"/>
          <w:b w:val="1"/>
          <w:bCs w:val="1"/>
          <w:color w:val="auto"/>
        </w:rPr>
        <w:t xml:space="preserve"> — </w:t>
      </w:r>
      <w:r>
        <w:rPr>
          <w:rFonts w:ascii="Arial" w:cs="Arial" w:eastAsia="Arial" w:hAnsi="Arial"/>
          <w:sz w:val="18"/>
          <w:szCs w:val="18"/>
          <w:color w:val="auto"/>
        </w:rPr>
        <w:t>Goodwill and Other Intangible Assets for the Company's segment-based presentations.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Certain amounts on the condensed consolidated statements of cash flows have been revised from their prior period classifications. See Note 19 - Supplemental Disclosures of Cash Flow Information for more information as to the nature of the revision and the amounts. In the opinion of management, these condensed consolidated financial statements reflect all adjustments, consisting of normal recurring adjustments, which are necessary for a fair presentation of the condensed consolidated financial statements and results for the interim periods. All intercompany accounts and transactions have been eliminated in consolidation. The condensed consolidated financial statements should be read together with the Company’s Annual Report on Form 10-K, filed with the SEC on February 24, 2022, and may be accessed via EDGAR on the SEC’s web site at www.sec.gov.</w:t>
      </w:r>
    </w:p>
    <w:p>
      <w:pPr>
        <w:spacing w:after="0" w:line="12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results of operations for the three and nine months ended September 30, 2022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of the Economic Environment</w:t>
      </w:r>
    </w:p>
    <w:p>
      <w:pPr>
        <w:spacing w:after="0" w:line="12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Beginning with the COVID-19 pandemic, there have been adverse changes in global commercial activity, particularly in the global supply chain and workforce availability, and significant volatility in the global financial markets including, among other effects, occasional declines in the equity markets, changes in interest rates and reduced liquidity on a global basis.</w:t>
      </w:r>
    </w:p>
    <w:p>
      <w:pPr>
        <w:spacing w:after="0" w:line="143"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Supply and labor market disruptions caused by COVID-19, accommodative monetary and fiscal policy and the Russian invasion of Ukraine have contributed to significant inflation in many of the markets in which we operate. This impacts not only the costs to attract and retain employees but also other costs to run and invest in our business. If our costs grow significantly in excess of our ability to raise revenue, our margins and results of operations may be materially and adversely impacted and we may not be able to achieve our strategic and financial objectives.</w:t>
      </w:r>
    </w:p>
    <w:p>
      <w:pPr>
        <w:spacing w:after="0" w:line="13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Although we believe we have adapted to the unique challenges posed by COVID-19 surrounding how and where we do our work, we are also impacted by the negative effect on workforce availability, which could hamper our ability to grow our capacity on pace with increasing demand for our services. We expect the market for talent to remain highly competitive for at least the next several months. We will continue to monitor the situation and assess any implications to our business and our stakeholders.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completed acquisitions during the nine months ended September 30, 2022 for cash payments of $109 million and contingent considerations with estimated fair values totaling $22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Divestment of Russian Business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During the first quarter of 2022, WTW announced its intention to transfer ownership of its Russian subsidiaries to local management who will operate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 million, which includes an allocation of Risk &amp; Broking goodwill, and was recognized as a loss on disposal of a business within other income, net on our condensed consolidated statement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are held outside of our Russian entities, were $81 million recorded during the three months ended March 31, 2022 in other operating expenses on our condensed consolidated statement of comprehensive income.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Willis Re Divestiture</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On August 13, 2021, the Company entered into a definitive agreement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 (‘Principal Closing’). Although the majority of the Willis Re businesses transferred to Gallagher at Principal Closing, the assets and liabilities of certain Willis Re businesses were not transferred to Gallagher at the time due to local territory restrictions (‘Deferred Closing’). The Deferred Closing for all but one business was completed during the second quarter of 2022, and all net earnings of the Deferred Closing businesses accumulated between the Principal Closing and Deferred Closing remained payable to Gallagher at June 30, 2022 and September 30, 2022. The Company recognized a preliminary pre-tax gain of $2.3 billion upon completion of the sale in 2021, and during the second quarter of 2022, WTW recognized a $60 million reduction to the pre-tax gain related to an updated estimate of the working capital transferred upon disposal. The Company recognized the final allocation of the proceeds and related tax expense, as well as an adjustment of certain indemnities for the three months ended September 30, 2022. These amounts as well as the amounts payable with respect to the settled Deferred Closing businesses were remitted to Gallagher in October 2022. The gain is subject to tax in certain jurisdictions, mainly in the U.S., and is predominantly tax-exempt in the U.K.</w:t>
      </w:r>
    </w:p>
    <w:p>
      <w:pPr>
        <w:spacing w:after="0" w:line="10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connection with the transaction, the Company reclassified the results of its Willis Re operations as discontinued operations on its condensed consolidated statements of comprehensive income and reclassified Willis Re assets and liabilities as held for sale on its condensed consolidated balance sheets. The condensed consolidated cash flow statements were not adjusted for the divestiture. Willis Re was previously included in the Company's former Investment, Risk and Reinsurance segment. As noted above, the amounts owed as part of the Deferred Closing continue to be presented as held for sale on the condensed consolidated balance sheets at September 30, 2022 and December 31, 2021, and the results of these businesses following the Principal Closing until their respective Deferred Closing dates have been included in income from discontinued operations on the condensed consolidated statements of comprehensive income.</w:t>
      </w:r>
    </w:p>
    <w:p>
      <w:pPr>
        <w:spacing w:after="0" w:line="14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Company will account for the earnout as a gain contingency and therefore did not record any receivables upon close. Rather, the earnout will be recognized in the Company’s condensed consolidated financial statements, if it is received, in 2025.</w:t>
      </w:r>
    </w:p>
    <w:p>
      <w:pPr>
        <w:spacing w:after="0" w:line="11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 number of services are continuing under a cost reimbursement Transition Services Agreement (‘TSA’) in which WTW is providing Gallagher support including real estate leases, information technology, payroll, human resources and accounting. These services are expected to be provided for a period not to exceed two years from the Principal Closing. Fees earned under the TSA were $8 million and $31 million during the three and nine months ended September 30, 2022, respectively, and have been recognized as a reduction to the costs incurred to service the TSA and are included in continuing operations within other operating expenses on the condensed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selected financial information relates to the operations of Willis Re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w w:val="98"/>
              </w:rPr>
              <w:t>September 30,</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45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discontinued operations</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Costs of providing services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Salaries and benefits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7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Amortization</w:t>
            </w:r>
          </w:p>
        </w:tc>
        <w:tc>
          <w:tcPr>
            <w:tcW w:w="7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820" w:type="dxa"/>
            <w:vAlign w:val="bottom"/>
          </w:tcPr>
          <w:p>
            <w:pPr>
              <w:ind w:left="200"/>
              <w:spacing w:after="0"/>
              <w:rPr>
                <w:sz w:val="20"/>
                <w:szCs w:val="20"/>
                <w:color w:val="auto"/>
              </w:rPr>
            </w:pPr>
            <w:r>
              <w:rPr>
                <w:rFonts w:ascii="Arial" w:cs="Arial" w:eastAsia="Arial" w:hAnsi="Arial"/>
                <w:sz w:val="18"/>
                <w:szCs w:val="18"/>
                <w:color w:val="auto"/>
              </w:rPr>
              <w:t>Total costs of providing services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7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Income/(loss) from discontinued operations before income taxes</w:t>
            </w:r>
          </w:p>
        </w:tc>
        <w:tc>
          <w:tcPr>
            <w:tcW w:w="7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 to gain on disposal of Willis Re</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Benefit from/(provision for) income taxes</w:t>
            </w:r>
          </w:p>
        </w:tc>
        <w:tc>
          <w:tcPr>
            <w:tcW w:w="78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174"/>
        </w:trPr>
        <w:tc>
          <w:tcPr>
            <w:tcW w:w="5820" w:type="dxa"/>
            <w:vAlign w:val="bottom"/>
            <w:shd w:val="clear" w:color="auto" w:fill="CFF0FC"/>
          </w:tcPr>
          <w:p>
            <w:pPr>
              <w:ind w:left="120"/>
              <w:spacing w:after="0" w:line="175" w:lineRule="exact"/>
              <w:rPr>
                <w:sz w:val="20"/>
                <w:szCs w:val="20"/>
                <w:color w:val="auto"/>
              </w:rPr>
            </w:pPr>
            <w:r>
              <w:rPr>
                <w:rFonts w:ascii="Arial" w:cs="Arial" w:eastAsia="Arial" w:hAnsi="Arial"/>
                <w:sz w:val="18"/>
                <w:szCs w:val="18"/>
                <w:color w:val="auto"/>
              </w:rPr>
              <w:t>Net income payable to Gallagher on Deferred</w:t>
            </w:r>
          </w:p>
        </w:tc>
        <w:tc>
          <w:tcPr>
            <w:tcW w:w="780" w:type="dxa"/>
            <w:vAlign w:val="bottom"/>
            <w:shd w:val="clear" w:color="auto" w:fill="CFF0FC"/>
          </w:tcPr>
          <w:p>
            <w:pPr>
              <w:spacing w:after="0"/>
              <w:rPr>
                <w:sz w:val="15"/>
                <w:szCs w:val="15"/>
                <w:color w:val="auto"/>
              </w:rPr>
            </w:pPr>
          </w:p>
        </w:tc>
        <w:tc>
          <w:tcPr>
            <w:tcW w:w="4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Closing</w:t>
            </w:r>
          </w:p>
        </w:tc>
        <w:tc>
          <w:tcPr>
            <w:tcW w:w="7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Income/(loss) from discontinued operations, net of tax</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(27 )</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-1129665</wp:posOffset>
            </wp:positionV>
            <wp:extent cx="939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-1129665</wp:posOffset>
            </wp:positionV>
            <wp:extent cx="8572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-1129665</wp:posOffset>
            </wp:positionV>
            <wp:extent cx="8572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-838200</wp:posOffset>
            </wp:positionV>
            <wp:extent cx="9398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-838200</wp:posOffset>
            </wp:positionV>
            <wp:extent cx="8572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-838200</wp:posOffset>
            </wp:positionV>
            <wp:extent cx="8572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-170815</wp:posOffset>
            </wp:positionV>
            <wp:extent cx="939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-170815</wp:posOffset>
            </wp:positionV>
            <wp:extent cx="8572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-170815</wp:posOffset>
            </wp:positionV>
            <wp:extent cx="8572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expense amounts reflected above represent only the direct costs attributable to the Willis Re business and exclude allocations of corporate costs that will be retained following the sale. Neither the discontinued operations presented above, nor the unallocated corporate costs, reflect the impact of any cost reimbursement that will be received under the TSA.</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4" w:name="page15"/>
    <w:bookmarkEnd w:id="14"/>
    <w:p>
      <w:pPr>
        <w:ind w:right="60"/>
        <w:spacing w:after="0" w:line="279" w:lineRule="auto"/>
        <w:rPr>
          <w:sz w:val="20"/>
          <w:szCs w:val="20"/>
          <w:color w:val="auto"/>
        </w:rPr>
      </w:pPr>
      <w:r>
        <w:rPr>
          <w:rFonts w:ascii="Arial" w:cs="Arial" w:eastAsia="Arial" w:hAnsi="Arial"/>
          <w:sz w:val="16"/>
          <w:szCs w:val="16"/>
          <w:color w:val="auto"/>
        </w:rPr>
        <w:t>Amounts classified as held for sale within our condensed consolidated balance sheets at both September 30, 2022 and December 31, 2021 are related to amounts payable as part of the Deferred Closing as well as the final purchase price adjustment at September 30, 2022. Certain amounts included in the condensed consolidated balance sheets have been excluded from the held-for-sale balances disclosed since the assets are not transferring under the terms of the sale agreement, and instead will be settled by the Company. At September 30, 2022 and December 31, 2021, the amounts of significant assets and liabilities related to the Willis Re businesses which were not transferred in the sale and are therefore not classified as held for sale on the condensed consolidated balance sheets are $3.8 billion and $2.6 billion of fiduciary assets and liabilities, $62 million and $71 million of accounts receivable and $137 million and $91 million of other current liabilities, respectively. Other than indemnified amounts, these amounts will be settled over time.</w:t>
      </w:r>
    </w:p>
    <w:p>
      <w:pPr>
        <w:spacing w:after="0" w:line="1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October 2022, the Company transferred the amounts owed to Gallagher in relation to the completed Deferred Closing businesses, final purchase price adjustments and indemnities.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Miller Divestiture</w:t>
      </w:r>
    </w:p>
    <w:p>
      <w:pPr>
        <w:spacing w:after="0" w:line="10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On March 1, 2021, the Company completed the transaction to sell its U.K.-based, majority-owned wholesale subsidiary Miller for final total consideration of GBP 623 million ($818 million), which includes amounts paid to the minority shareholder. The $356 million net tax-exempt gain on the sale was included in Other income, net in the condensed consolidated statement of comprehensive income during the nine months ended September 30, 2021. Prior to disposal, Miller was included within the Company's former Investment, Risk and Reinsurance segment.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Disposals</w:t>
      </w:r>
    </w:p>
    <w:p>
      <w:pPr>
        <w:spacing w:after="0" w:line="10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Company completed other disposals during the nine months ended September 30, 2022 for cash proceeds of $1 million and estimated non-cash proceeds of $43 million for a net gain on disposal of $46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9"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 xml:space="preserve">The Company reports revenue by segment in Note 5 </w:t>
      </w:r>
      <w:r>
        <w:rPr>
          <w:rFonts w:ascii="Arial" w:cs="Arial" w:eastAsia="Arial" w:hAnsi="Arial"/>
          <w:sz w:val="18"/>
          <w:szCs w:val="18"/>
          <w:b w:val="1"/>
          <w:bCs w:val="1"/>
          <w:color w:val="auto"/>
        </w:rPr>
        <w:t>—</w:t>
      </w:r>
      <w:r>
        <w:rPr>
          <w:rFonts w:ascii="Arial" w:cs="Arial" w:eastAsia="Arial" w:hAnsi="Arial"/>
          <w:sz w:val="18"/>
          <w:szCs w:val="18"/>
          <w:color w:val="auto"/>
        </w:rPr>
        <w:t xml:space="preserve"> Segment Information. The following tables present revenue by service offering and segment, as well as reconciliations to total revenue for the three and nine months ended September 30, 2022 and 2021. Along with reimbursable expenses and other, total revenue by service offering represents our revenue from customer contracts. The prior year segment information has been retrospectively adjusted to conform to the current year presentation.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HWC</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R&amp;B</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Divested Businesses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48"/>
              <w:spacing w:after="0" w:line="169" w:lineRule="exact"/>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9"/>
                <w:szCs w:val="19"/>
                <w:b w:val="1"/>
                <w:bCs w:val="1"/>
                <w:color w:val="auto"/>
                <w:vertAlign w:val="superscript"/>
              </w:rPr>
              <w:t>(i)</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Total</w:t>
            </w:r>
          </w:p>
        </w:tc>
        <w:tc>
          <w:tcPr>
            <w:tcW w:w="620" w:type="dxa"/>
            <w:vAlign w:val="bottom"/>
            <w:tcBorders>
              <w:bottom w:val="single" w:sz="8" w:color="auto"/>
            </w:tcBorders>
          </w:tcPr>
          <w:p>
            <w:pPr>
              <w:spacing w:after="0"/>
              <w:rPr>
                <w:sz w:val="14"/>
                <w:szCs w:val="14"/>
                <w:color w:val="auto"/>
              </w:rPr>
            </w:pPr>
          </w:p>
        </w:tc>
      </w:tr>
      <w:tr>
        <w:trPr>
          <w:trHeight w:val="169"/>
        </w:trPr>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Broking</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606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814</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818</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Consulting</w:t>
            </w:r>
          </w:p>
        </w:tc>
        <w:tc>
          <w:tcPr>
            <w:tcW w:w="14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715</w:t>
            </w:r>
          </w:p>
        </w:tc>
      </w:tr>
      <w:tr>
        <w:trPr>
          <w:trHeight w:val="216"/>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Outsourced administration</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266</w:t>
            </w:r>
          </w:p>
        </w:tc>
      </w:tr>
      <w:tr>
        <w:trPr>
          <w:trHeight w:val="202"/>
        </w:trPr>
        <w:tc>
          <w:tcPr>
            <w:tcW w:w="3020" w:type="dxa"/>
            <w:vAlign w:val="bottom"/>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revenue by service offering</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1,164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772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1,947</w:t>
            </w:r>
          </w:p>
        </w:tc>
      </w:tr>
      <w:tr>
        <w:trPr>
          <w:trHeight w:val="202"/>
        </w:trPr>
        <w:tc>
          <w:tcPr>
            <w:tcW w:w="3020" w:type="dxa"/>
            <w:vAlign w:val="bottom"/>
          </w:tcPr>
          <w:p>
            <w:pPr>
              <w:ind w:left="20"/>
              <w:spacing w:after="0"/>
              <w:rPr>
                <w:sz w:val="20"/>
                <w:szCs w:val="20"/>
                <w:color w:val="auto"/>
              </w:rPr>
            </w:pPr>
            <w:r>
              <w:rPr>
                <w:rFonts w:ascii="Arial" w:cs="Arial" w:eastAsia="Arial" w:hAnsi="Arial"/>
                <w:sz w:val="14"/>
                <w:szCs w:val="14"/>
                <w:color w:val="auto"/>
              </w:rPr>
              <w:t xml:space="preserve">Reimbursable expenses and other </w:t>
            </w:r>
            <w:r>
              <w:rPr>
                <w:rFonts w:ascii="Arial" w:cs="Arial" w:eastAsia="Arial" w:hAnsi="Arial"/>
                <w:sz w:val="7"/>
                <w:szCs w:val="7"/>
                <w:color w:val="auto"/>
              </w:rPr>
              <w:t>(i)</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revenue from customer contracts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1,172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1,177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749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774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1,928</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1,952</w:t>
            </w:r>
          </w:p>
        </w:tc>
      </w:tr>
      <w:tr>
        <w:trPr>
          <w:trHeight w:val="202"/>
        </w:trPr>
        <w:tc>
          <w:tcPr>
            <w:tcW w:w="3020" w:type="dxa"/>
            <w:vAlign w:val="bottom"/>
          </w:tcPr>
          <w:p>
            <w:pPr>
              <w:ind w:left="20"/>
              <w:spacing w:after="0"/>
              <w:rPr>
                <w:sz w:val="20"/>
                <w:szCs w:val="20"/>
                <w:color w:val="auto"/>
              </w:rPr>
            </w:pPr>
            <w:r>
              <w:rPr>
                <w:rFonts w:ascii="Arial" w:cs="Arial" w:eastAsia="Arial" w:hAnsi="Arial"/>
                <w:sz w:val="14"/>
                <w:szCs w:val="14"/>
                <w:color w:val="auto"/>
              </w:rPr>
              <w:t xml:space="preserve">Interest and other income </w:t>
            </w:r>
            <w:r>
              <w:rPr>
                <w:rFonts w:ascii="Arial" w:cs="Arial" w:eastAsia="Arial" w:hAnsi="Arial"/>
                <w:sz w:val="7"/>
                <w:szCs w:val="7"/>
                <w:color w:val="auto"/>
              </w:rPr>
              <w:t>(ii)</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r>
      <w:tr>
        <w:trPr>
          <w:trHeight w:val="209"/>
        </w:trPr>
        <w:tc>
          <w:tcPr>
            <w:tcW w:w="3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1,178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1,181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767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789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1,953</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HWC</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R&amp;B</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Divested Businesses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368"/>
              <w:spacing w:after="0" w:line="169" w:lineRule="exact"/>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9"/>
                <w:szCs w:val="19"/>
                <w:b w:val="1"/>
                <w:bCs w:val="1"/>
                <w:color w:val="auto"/>
                <w:vertAlign w:val="superscript"/>
              </w:rPr>
              <w:t>(i)</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Total</w:t>
            </w:r>
          </w:p>
        </w:tc>
        <w:tc>
          <w:tcPr>
            <w:tcW w:w="620" w:type="dxa"/>
            <w:vAlign w:val="bottom"/>
            <w:tcBorders>
              <w:bottom w:val="single" w:sz="8" w:color="auto"/>
            </w:tcBorders>
          </w:tcPr>
          <w:p>
            <w:pPr>
              <w:spacing w:after="0"/>
              <w:rPr>
                <w:sz w:val="14"/>
                <w:szCs w:val="14"/>
                <w:color w:val="auto"/>
              </w:rPr>
            </w:pPr>
          </w:p>
        </w:tc>
      </w:tr>
      <w:tr>
        <w:trPr>
          <w:trHeight w:val="169"/>
        </w:trPr>
        <w:tc>
          <w:tcPr>
            <w:tcW w:w="3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Broking</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645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1,963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2,026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2,685</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2,733</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Consulting</w:t>
            </w:r>
          </w:p>
        </w:tc>
        <w:tc>
          <w:tcPr>
            <w:tcW w:w="1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1,886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1,910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2,214</w:t>
            </w:r>
          </w:p>
        </w:tc>
      </w:tr>
      <w:tr>
        <w:trPr>
          <w:trHeight w:val="216"/>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Outsourced administration</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823</w:t>
            </w:r>
          </w:p>
        </w:tc>
      </w:tr>
      <w:tr>
        <w:trPr>
          <w:trHeight w:val="202"/>
        </w:trPr>
        <w:tc>
          <w:tcPr>
            <w:tcW w:w="3020" w:type="dxa"/>
            <w:vAlign w:val="bottom"/>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w:t>
            </w: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revenue by service offering</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3,533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3,566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2,451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2,527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6,170</w:t>
            </w:r>
          </w:p>
        </w:tc>
      </w:tr>
      <w:tr>
        <w:trPr>
          <w:trHeight w:val="202"/>
        </w:trPr>
        <w:tc>
          <w:tcPr>
            <w:tcW w:w="3020" w:type="dxa"/>
            <w:vAlign w:val="bottom"/>
          </w:tcPr>
          <w:p>
            <w:pPr>
              <w:ind w:left="20"/>
              <w:spacing w:after="0"/>
              <w:rPr>
                <w:sz w:val="20"/>
                <w:szCs w:val="20"/>
                <w:color w:val="auto"/>
              </w:rPr>
            </w:pPr>
            <w:r>
              <w:rPr>
                <w:rFonts w:ascii="Arial" w:cs="Arial" w:eastAsia="Arial" w:hAnsi="Arial"/>
                <w:sz w:val="14"/>
                <w:szCs w:val="14"/>
                <w:color w:val="auto"/>
              </w:rPr>
              <w:t xml:space="preserve">Reimbursable expenses and other </w:t>
            </w:r>
            <w:r>
              <w:rPr>
                <w:rFonts w:ascii="Arial" w:cs="Arial" w:eastAsia="Arial" w:hAnsi="Arial"/>
                <w:sz w:val="7"/>
                <w:szCs w:val="7"/>
                <w:color w:val="auto"/>
              </w:rPr>
              <w:t>(i)</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revenue from customer contracts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3,576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3,606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2,458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2,532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6,052</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6,205</w:t>
            </w:r>
          </w:p>
        </w:tc>
      </w:tr>
      <w:tr>
        <w:trPr>
          <w:trHeight w:val="202"/>
        </w:trPr>
        <w:tc>
          <w:tcPr>
            <w:tcW w:w="3020" w:type="dxa"/>
            <w:vAlign w:val="bottom"/>
          </w:tcPr>
          <w:p>
            <w:pPr>
              <w:ind w:left="20"/>
              <w:spacing w:after="0"/>
              <w:rPr>
                <w:sz w:val="20"/>
                <w:szCs w:val="20"/>
                <w:color w:val="auto"/>
              </w:rPr>
            </w:pPr>
            <w:r>
              <w:rPr>
                <w:rFonts w:ascii="Arial" w:cs="Arial" w:eastAsia="Arial" w:hAnsi="Arial"/>
                <w:sz w:val="14"/>
                <w:szCs w:val="14"/>
                <w:color w:val="auto"/>
              </w:rPr>
              <w:t xml:space="preserve">Interest and other income </w:t>
            </w:r>
            <w:r>
              <w:rPr>
                <w:rFonts w:ascii="Arial" w:cs="Arial" w:eastAsia="Arial" w:hAnsi="Arial"/>
                <w:sz w:val="7"/>
                <w:szCs w:val="7"/>
                <w:color w:val="auto"/>
              </w:rPr>
              <w:t>(ii)</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r>
      <w:tr>
        <w:trPr>
          <w:trHeight w:val="209"/>
        </w:trPr>
        <w:tc>
          <w:tcPr>
            <w:tcW w:w="3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3,608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3,620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2,515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2,601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6,144</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-24765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ind w:left="280" w:right="880" w:hanging="272"/>
        <w:spacing w:after="0" w:line="292" w:lineRule="auto"/>
        <w:tabs>
          <w:tab w:leader="none" w:pos="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Reimbursable expenses and other, as well as Corporate revenue, are excluded from segment revenue, but included in total revenue on the condensed consolidated statements of comprehensive income. Amounts included in Corporate revenue may include eliminations and impacts from hedged revenue transactions.</w:t>
      </w:r>
    </w:p>
    <w:p>
      <w:pPr>
        <w:ind w:left="280" w:right="60" w:hanging="272"/>
        <w:spacing w:after="0" w:line="284" w:lineRule="auto"/>
        <w:tabs>
          <w:tab w:leader="none" w:pos="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Interest and other income is included in segment revenue and total revenue, however it has been presented separately in the above tables because it does not arise directly from contracts with customers. In 2022, both HWC’s and R&amp;B’s interest and other income resulted primarily from book-of-business settlements. For HWC, these amounts totaled $2 million and $19 million, respectively, for the three and nine months ended September 30, 2022. For R&amp;B, these amounts totaled $11 million and $41 million, respectively, for the three and nine months ended September 30, 2022. In the three and nine months ended September 30, 2021, HWC had no material settlements, and R&amp;B had settlements totaling $12 million and $59 million,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revenue by the geography where our work is performed for the three and nine months ended September 30, 2022 and 2021.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to total revenue on our condensed consolidated statements of comprehensive income and to segment revenue are shown in the table above.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prior year geographic information has been retrospectively adjusted to conform to the current year presentation.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92"/>
              </w:rPr>
              <w:t>Three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HWC</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R&amp;B</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Divested Businesses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Total</w:t>
            </w:r>
          </w:p>
        </w:tc>
        <w:tc>
          <w:tcPr>
            <w:tcW w:w="640" w:type="dxa"/>
            <w:vAlign w:val="bottom"/>
            <w:tcBorders>
              <w:bottom w:val="single" w:sz="8" w:color="auto"/>
            </w:tcBorders>
          </w:tcPr>
          <w:p>
            <w:pPr>
              <w:spacing w:after="0"/>
              <w:rPr>
                <w:sz w:val="14"/>
                <w:szCs w:val="14"/>
                <w:color w:val="auto"/>
              </w:rPr>
            </w:pPr>
          </w:p>
        </w:tc>
      </w:tr>
      <w:tr>
        <w:trPr>
          <w:trHeight w:val="169"/>
        </w:trPr>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 America</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766</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748</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326</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329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1,094</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1,084</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Europe</w:t>
            </w:r>
          </w:p>
        </w:tc>
        <w:tc>
          <w:tcPr>
            <w:tcW w:w="14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60"/>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635</w:t>
            </w:r>
          </w:p>
        </w:tc>
      </w:tr>
      <w:tr>
        <w:trPr>
          <w:trHeight w:val="202"/>
        </w:trPr>
        <w:tc>
          <w:tcPr>
            <w:tcW w:w="3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International</w:t>
            </w: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228</w:t>
            </w:r>
          </w:p>
        </w:tc>
      </w:tr>
      <w:tr>
        <w:trPr>
          <w:trHeight w:val="169"/>
        </w:trPr>
        <w:tc>
          <w:tcPr>
            <w:tcW w:w="3020" w:type="dxa"/>
            <w:vAlign w:val="bottom"/>
          </w:tcPr>
          <w:p>
            <w:pPr>
              <w:ind w:left="20"/>
              <w:spacing w:after="0"/>
              <w:rPr>
                <w:sz w:val="20"/>
                <w:szCs w:val="20"/>
                <w:color w:val="auto"/>
              </w:rPr>
            </w:pPr>
            <w:r>
              <w:rPr>
                <w:rFonts w:ascii="Arial" w:cs="Arial" w:eastAsia="Arial" w:hAnsi="Arial"/>
                <w:sz w:val="14"/>
                <w:szCs w:val="14"/>
                <w:color w:val="auto"/>
              </w:rPr>
              <w:t>Total revenue by geography</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1,156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1,164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747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ind w:left="260"/>
              <w:spacing w:after="0"/>
              <w:rPr>
                <w:sz w:val="20"/>
                <w:szCs w:val="20"/>
                <w:color w:val="auto"/>
              </w:rPr>
            </w:pPr>
            <w:r>
              <w:rPr>
                <w:rFonts w:ascii="Arial" w:cs="Arial" w:eastAsia="Arial" w:hAnsi="Arial"/>
                <w:sz w:val="14"/>
                <w:szCs w:val="14"/>
                <w:color w:val="auto"/>
              </w:rPr>
              <w:t>772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1,906</w:t>
            </w:r>
          </w:p>
        </w:tc>
        <w:tc>
          <w:tcPr>
            <w:tcW w:w="3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1,947</w:t>
            </w:r>
          </w:p>
        </w:tc>
      </w:tr>
      <w:tr>
        <w:trPr>
          <w:trHeight w:val="20"/>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-144780</wp:posOffset>
            </wp:positionV>
            <wp:extent cx="7683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-144780</wp:posOffset>
            </wp:positionV>
            <wp:extent cx="76835"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-144780</wp:posOffset>
            </wp:positionV>
            <wp:extent cx="76835"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-144780</wp:posOffset>
            </wp:positionV>
            <wp:extent cx="6858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-144780</wp:posOffset>
            </wp:positionV>
            <wp:extent cx="6858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-144780</wp:posOffset>
            </wp:positionV>
            <wp:extent cx="6858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-144780</wp:posOffset>
            </wp:positionV>
            <wp:extent cx="6858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-144780</wp:posOffset>
            </wp:positionV>
            <wp:extent cx="6858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-144780</wp:posOffset>
            </wp:positionV>
            <wp:extent cx="6858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HWC</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R&amp;B</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Divested Businesses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620" w:type="dxa"/>
            <w:vAlign w:val="bottom"/>
            <w:tcBorders>
              <w:bottom w:val="single" w:sz="8" w:color="auto"/>
            </w:tcBorders>
          </w:tcPr>
          <w:p>
            <w:pPr>
              <w:spacing w:after="0"/>
              <w:rPr>
                <w:sz w:val="14"/>
                <w:szCs w:val="14"/>
                <w:color w:val="auto"/>
              </w:rPr>
            </w:pPr>
          </w:p>
        </w:tc>
      </w:tr>
      <w:tr>
        <w:trPr>
          <w:trHeight w:val="169"/>
        </w:trPr>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 America</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2,301</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2,258</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936</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922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3,243</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3,201</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Europe</w:t>
            </w:r>
          </w:p>
        </w:tc>
        <w:tc>
          <w:tcPr>
            <w:tcW w:w="14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2,275</w:t>
            </w:r>
          </w:p>
        </w:tc>
      </w:tr>
      <w:tr>
        <w:trPr>
          <w:trHeight w:val="202"/>
        </w:trPr>
        <w:tc>
          <w:tcPr>
            <w:tcW w:w="3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International</w:t>
            </w: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387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689</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694</w:t>
            </w:r>
          </w:p>
        </w:tc>
      </w:tr>
      <w:tr>
        <w:trPr>
          <w:trHeight w:val="169"/>
        </w:trPr>
        <w:tc>
          <w:tcPr>
            <w:tcW w:w="3020" w:type="dxa"/>
            <w:vAlign w:val="bottom"/>
          </w:tcPr>
          <w:p>
            <w:pPr>
              <w:ind w:left="20"/>
              <w:spacing w:after="0"/>
              <w:rPr>
                <w:sz w:val="20"/>
                <w:szCs w:val="20"/>
                <w:color w:val="auto"/>
              </w:rPr>
            </w:pPr>
            <w:r>
              <w:rPr>
                <w:rFonts w:ascii="Arial" w:cs="Arial" w:eastAsia="Arial" w:hAnsi="Arial"/>
                <w:sz w:val="14"/>
                <w:szCs w:val="14"/>
                <w:color w:val="auto"/>
              </w:rPr>
              <w:t>Total revenue by geography</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3,533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3,566</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2,451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2,527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5,999</w:t>
            </w:r>
          </w:p>
        </w:tc>
        <w:tc>
          <w:tcPr>
            <w:tcW w:w="3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6,170</w:t>
            </w:r>
          </w:p>
        </w:tc>
      </w:tr>
      <w:tr>
        <w:trPr>
          <w:trHeight w:val="20"/>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-144780</wp:posOffset>
            </wp:positionV>
            <wp:extent cx="76835"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-144780</wp:posOffset>
            </wp:positionV>
            <wp:extent cx="76835"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-144780</wp:posOffset>
            </wp:positionV>
            <wp:extent cx="76835"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-144780</wp:posOffset>
            </wp:positionV>
            <wp:extent cx="76835"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-144780</wp:posOffset>
            </wp:positionV>
            <wp:extent cx="6858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-144780</wp:posOffset>
            </wp:positionV>
            <wp:extent cx="6858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-144780</wp:posOffset>
            </wp:positionV>
            <wp:extent cx="6858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-144780</wp:posOffset>
            </wp:positionV>
            <wp:extent cx="6858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-144780</wp:posOffset>
            </wp:positionV>
            <wp:extent cx="6858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03"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Company reports accounts receivable, net on the condensed consolidated balance sheet, which includes billed and unbilled receivables and current contract assets. In addition to accounts receivable, net, the Company had the following non-current contract assets and deferred revenue balances at September 30, 2022 and December 31,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1"/>
              </w:rPr>
              <w:t>September 30, 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1"/>
              </w:rPr>
              <w:t>December 31, 2021</w:t>
            </w:r>
          </w:p>
        </w:tc>
      </w:tr>
      <w:tr>
        <w:trPr>
          <w:trHeight w:val="20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Billed receivables, net of allowance for doubtful accounts of $47 million and $45 million</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1,504</w:t>
            </w: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431</w:t>
            </w:r>
          </w:p>
        </w:tc>
      </w:tr>
      <w:tr>
        <w:trPr>
          <w:trHeight w:val="216"/>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contract assets</w:t>
            </w: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435</w:t>
            </w:r>
          </w:p>
        </w:tc>
      </w:tr>
      <w:tr>
        <w:trPr>
          <w:trHeight w:val="209"/>
        </w:trPr>
        <w:tc>
          <w:tcPr>
            <w:tcW w:w="79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2,370</w:t>
            </w:r>
          </w:p>
        </w:tc>
      </w:tr>
      <w:tr>
        <w:trPr>
          <w:trHeight w:val="20"/>
        </w:trPr>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Non-current accounts receivable, net</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44</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23</w:t>
            </w:r>
          </w:p>
        </w:tc>
      </w:tr>
      <w:tr>
        <w:trPr>
          <w:trHeight w:val="209"/>
        </w:trPr>
        <w:tc>
          <w:tcPr>
            <w:tcW w:w="7960" w:type="dxa"/>
            <w:vAlign w:val="bottom"/>
          </w:tcPr>
          <w:p>
            <w:pPr>
              <w:ind w:left="20"/>
              <w:spacing w:after="0"/>
              <w:rPr>
                <w:sz w:val="20"/>
                <w:szCs w:val="20"/>
                <w:color w:val="auto"/>
              </w:rPr>
            </w:pPr>
            <w:r>
              <w:rPr>
                <w:rFonts w:ascii="Arial" w:cs="Arial" w:eastAsia="Arial" w:hAnsi="Arial"/>
                <w:sz w:val="18"/>
                <w:szCs w:val="18"/>
                <w:color w:val="auto"/>
              </w:rPr>
              <w:t>Non-current contract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532</w:t>
            </w:r>
          </w:p>
        </w:tc>
      </w:tr>
      <w:tr>
        <w:trPr>
          <w:trHeight w:val="209"/>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-607060</wp:posOffset>
            </wp:positionV>
            <wp:extent cx="11112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-299085</wp:posOffset>
            </wp:positionV>
            <wp:extent cx="11112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111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three and nine months ended September 30, 2022, revenue of $53 million and $363 million, respectively, was recognized that was reflected as deferred revenue at December 31, 2021. During the three months ended September 30, 2022, revenue of $232 million was recognized that was reflected as deferred revenue at June 30, 2022.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6" w:name="page17"/>
    <w:bookmarkEnd w:id="16"/>
    <w:p>
      <w:pPr>
        <w:ind w:right="580"/>
        <w:spacing w:after="0" w:line="277" w:lineRule="auto"/>
        <w:rPr>
          <w:sz w:val="20"/>
          <w:szCs w:val="20"/>
          <w:color w:val="auto"/>
        </w:rPr>
      </w:pPr>
      <w:r>
        <w:rPr>
          <w:rFonts w:ascii="Arial" w:cs="Arial" w:eastAsia="Arial" w:hAnsi="Arial"/>
          <w:sz w:val="18"/>
          <w:szCs w:val="18"/>
          <w:color w:val="auto"/>
        </w:rPr>
        <w:t>During the three and nine months ended September 30, 2022, the Company recognized revenue of $1 million and $6 million, respectively, related to performance obligations satisfied prior to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has contracts for which performance obligations have not been satisfied as of September 30, 2022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4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In addition,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has elected not to disclose the remaining performance obligations when one or both of the following circumstances apply:</w:t>
      </w:r>
    </w:p>
    <w:p>
      <w:pPr>
        <w:spacing w:after="0" w:line="62"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obligations which are part of a contract that has an original expected duration of less than one year,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obligations satisfied in accordance with ASC 606-10-55-18 (‘right to invoice’).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2"/>
              </w:rPr>
              <w:t>onward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expected to be recognized on contracts as of September 30, 2022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most of the Company’s contracts are cancellable with less than one year’s notice, and have no substantive penalty for cancellation, the majority of the Company’s remaining performance obligations as of September 30, 2022 have been excluded from the table above.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Segment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Wealth &amp; Career (‘HWC’)</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&amp; Broking (‘R&amp;B’)</w:t>
      </w:r>
    </w:p>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experiences seasonal fluctuations of its revenue. Revenue is typically higher during the Company’s first and fourth quarters due primarily to the timing of broking-related activities.</w:t>
      </w:r>
    </w:p>
    <w:p>
      <w:pPr>
        <w:spacing w:after="0" w:line="11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presents segment revenue and segment operating income for our reportable segments for the three months ended September 30, 2022 and 2021. The prior year information has been retrospectively adjusted to conform to the current year presentation.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w w:val="96"/>
              </w:rPr>
              <w:t>Three Months Ended September 30,</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HWC</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R&amp;B</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3"/>
              </w:rPr>
              <w:t>Total</w:t>
            </w:r>
          </w:p>
        </w:tc>
        <w:tc>
          <w:tcPr>
            <w:tcW w:w="900" w:type="dxa"/>
            <w:vAlign w:val="bottom"/>
            <w:tcBorders>
              <w:bottom w:val="single" w:sz="8" w:color="auto"/>
            </w:tcBorders>
          </w:tcPr>
          <w:p>
            <w:pPr>
              <w:spacing w:after="0"/>
              <w:rPr>
                <w:sz w:val="14"/>
                <w:szCs w:val="14"/>
                <w:color w:val="auto"/>
              </w:rPr>
            </w:pPr>
          </w:p>
        </w:tc>
      </w:tr>
      <w:tr>
        <w:trPr>
          <w:trHeight w:val="169"/>
        </w:trPr>
        <w:tc>
          <w:tcPr>
            <w:tcW w:w="3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r>
      <w:tr>
        <w:trPr>
          <w:trHeight w:val="24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1,162</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1,168</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765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787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1,955</w:t>
            </w:r>
          </w:p>
        </w:tc>
      </w:tr>
      <w:tr>
        <w:trPr>
          <w:trHeight w:val="196"/>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236</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-324485</wp:posOffset>
            </wp:positionV>
            <wp:extent cx="324485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44850" cy="162560"/>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-24765</wp:posOffset>
            </wp:positionV>
            <wp:extent cx="93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-7620</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-24765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-7620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-24765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-7620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segment revenue and segment operating income for our reportable segments for the nine months ended September 30, 2022 and 2021. The prior year information has been retrospectively adjusted to conform to the current year presentation.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Nine Months Ended September 30,</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HWC</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R&amp;B</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3"/>
              </w:rPr>
              <w:t>Total</w:t>
            </w:r>
          </w:p>
        </w:tc>
        <w:tc>
          <w:tcPr>
            <w:tcW w:w="900" w:type="dxa"/>
            <w:vAlign w:val="bottom"/>
            <w:tcBorders>
              <w:bottom w:val="single" w:sz="8" w:color="auto"/>
            </w:tcBorders>
          </w:tcPr>
          <w:p>
            <w:pPr>
              <w:spacing w:after="0"/>
              <w:rPr>
                <w:sz w:val="14"/>
                <w:szCs w:val="14"/>
                <w:color w:val="auto"/>
              </w:rPr>
            </w:pPr>
          </w:p>
        </w:tc>
      </w:tr>
      <w:tr>
        <w:trPr>
          <w:trHeight w:val="169"/>
        </w:trPr>
        <w:tc>
          <w:tcPr>
            <w:tcW w:w="3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r>
      <w:tr>
        <w:trPr>
          <w:trHeight w:val="24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3,565</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3,580</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2,508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2,596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6,073</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6,176</w:t>
            </w:r>
          </w:p>
        </w:tc>
      </w:tr>
      <w:tr>
        <w:trPr>
          <w:trHeight w:val="196"/>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710</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701</w:t>
            </w:r>
          </w:p>
        </w:tc>
        <w:tc>
          <w:tcPr>
            <w:tcW w:w="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465</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545</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4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1,246</w:t>
            </w:r>
          </w:p>
        </w:tc>
      </w:tr>
      <w:tr>
        <w:trPr>
          <w:trHeight w:val="587"/>
        </w:trPr>
        <w:tc>
          <w:tcPr>
            <w:tcW w:w="38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475"/>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88"/>
        </w:trPr>
        <w:tc>
          <w:tcPr>
            <w:tcW w:w="38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-778510</wp:posOffset>
            </wp:positionV>
            <wp:extent cx="324485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44850" cy="162560"/>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-478790</wp:posOffset>
            </wp:positionV>
            <wp:extent cx="939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-461645</wp:posOffset>
            </wp:positionV>
            <wp:extent cx="939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-478790</wp:posOffset>
            </wp:positionV>
            <wp:extent cx="939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-461645</wp:posOffset>
            </wp:positionV>
            <wp:extent cx="939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-478790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-461645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-478790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-461645</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-478790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-461645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7" w:name="page18"/>
    <w:bookmarkEnd w:id="17"/>
    <w:p>
      <w:pPr>
        <w:ind w:right="20"/>
        <w:spacing w:after="0" w:line="261" w:lineRule="auto"/>
        <w:rPr>
          <w:sz w:val="20"/>
          <w:szCs w:val="20"/>
          <w:color w:val="auto"/>
        </w:rPr>
      </w:pPr>
      <w:r>
        <w:rPr>
          <w:rFonts w:ascii="Arial" w:cs="Arial" w:eastAsia="Arial" w:hAnsi="Arial"/>
          <w:sz w:val="18"/>
          <w:szCs w:val="18"/>
          <w:color w:val="auto"/>
        </w:rPr>
        <w:t>The following table presents reconciliations of the information reported by segment to the Company’s condensed consolidated statements of comprehensive income amounts reported for the three and nine months ended September 30, 2022 and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1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20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r>
      <w:tr>
        <w:trPr>
          <w:trHeight w:val="166"/>
        </w:trPr>
        <w:tc>
          <w:tcPr>
            <w:tcW w:w="5800" w:type="dxa"/>
            <w:vAlign w:val="bottom"/>
          </w:tcPr>
          <w:p>
            <w:pPr>
              <w:ind w:left="200"/>
              <w:spacing w:after="0" w:line="166" w:lineRule="exact"/>
              <w:rPr>
                <w:sz w:val="20"/>
                <w:szCs w:val="20"/>
                <w:color w:val="auto"/>
              </w:rPr>
            </w:pPr>
            <w:r>
              <w:rPr>
                <w:rFonts w:ascii="Arial" w:cs="Arial" w:eastAsia="Arial" w:hAnsi="Arial"/>
                <w:sz w:val="18"/>
                <w:szCs w:val="18"/>
                <w:color w:val="auto"/>
              </w:rPr>
              <w:t>Total segment revenue</w:t>
            </w:r>
          </w:p>
        </w:tc>
        <w:tc>
          <w:tcPr>
            <w:tcW w:w="720" w:type="dxa"/>
            <w:vAlign w:val="bottom"/>
          </w:tcPr>
          <w:p>
            <w:pPr>
              <w:jc w:val="right"/>
              <w:ind w:right="536"/>
              <w:spacing w:after="0" w:line="16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ind w:right="51"/>
              <w:spacing w:after="0" w:line="166" w:lineRule="exact"/>
              <w:rPr>
                <w:sz w:val="20"/>
                <w:szCs w:val="20"/>
                <w:color w:val="auto"/>
              </w:rPr>
            </w:pPr>
            <w:r>
              <w:rPr>
                <w:rFonts w:ascii="Arial" w:cs="Arial" w:eastAsia="Arial" w:hAnsi="Arial"/>
                <w:sz w:val="18"/>
                <w:szCs w:val="18"/>
                <w:color w:val="auto"/>
                <w:w w:val="84"/>
              </w:rPr>
              <w:t>1,927</w:t>
            </w:r>
          </w:p>
        </w:tc>
        <w:tc>
          <w:tcPr>
            <w:tcW w:w="900" w:type="dxa"/>
            <w:vAlign w:val="bottom"/>
            <w:gridSpan w:val="2"/>
          </w:tcPr>
          <w:p>
            <w:pPr>
              <w:jc w:val="right"/>
              <w:ind w:right="550"/>
              <w:spacing w:after="0" w:line="166"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line="166" w:lineRule="exact"/>
              <w:rPr>
                <w:sz w:val="20"/>
                <w:szCs w:val="20"/>
                <w:color w:val="auto"/>
              </w:rPr>
            </w:pPr>
            <w:r>
              <w:rPr>
                <w:rFonts w:ascii="Arial" w:cs="Arial" w:eastAsia="Arial" w:hAnsi="Arial"/>
                <w:sz w:val="18"/>
                <w:szCs w:val="18"/>
                <w:color w:val="auto"/>
                <w:w w:val="84"/>
              </w:rPr>
              <w:t>1,955</w:t>
            </w:r>
          </w:p>
        </w:tc>
        <w:tc>
          <w:tcPr>
            <w:tcW w:w="400" w:type="dxa"/>
            <w:vAlign w:val="bottom"/>
            <w:gridSpan w:val="2"/>
          </w:tcPr>
          <w:p>
            <w:pPr>
              <w:jc w:val="right"/>
              <w:ind w:right="70"/>
              <w:spacing w:after="0" w:line="16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line="166" w:lineRule="exact"/>
              <w:rPr>
                <w:sz w:val="20"/>
                <w:szCs w:val="20"/>
                <w:color w:val="auto"/>
              </w:rPr>
            </w:pPr>
            <w:r>
              <w:rPr>
                <w:rFonts w:ascii="Arial" w:cs="Arial" w:eastAsia="Arial" w:hAnsi="Arial"/>
                <w:sz w:val="18"/>
                <w:szCs w:val="18"/>
                <w:color w:val="auto"/>
              </w:rPr>
              <w:t>6,073</w:t>
            </w:r>
          </w:p>
        </w:tc>
        <w:tc>
          <w:tcPr>
            <w:tcW w:w="500" w:type="dxa"/>
            <w:vAlign w:val="bottom"/>
            <w:gridSpan w:val="2"/>
          </w:tcPr>
          <w:p>
            <w:pPr>
              <w:jc w:val="right"/>
              <w:ind w:right="190"/>
              <w:spacing w:after="0" w:line="166"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line="166" w:lineRule="exact"/>
              <w:rPr>
                <w:sz w:val="20"/>
                <w:szCs w:val="20"/>
                <w:color w:val="auto"/>
              </w:rPr>
            </w:pPr>
            <w:r>
              <w:rPr>
                <w:rFonts w:ascii="Arial" w:cs="Arial" w:eastAsia="Arial" w:hAnsi="Arial"/>
                <w:sz w:val="18"/>
                <w:szCs w:val="18"/>
                <w:color w:val="auto"/>
              </w:rPr>
              <w:t>6,176</w:t>
            </w:r>
          </w:p>
        </w:tc>
      </w:tr>
      <w:tr>
        <w:trPr>
          <w:trHeight w:val="266"/>
        </w:trPr>
        <w:tc>
          <w:tcPr>
            <w:tcW w:w="5800" w:type="dxa"/>
            <w:vAlign w:val="bottom"/>
          </w:tcPr>
          <w:p>
            <w:pPr>
              <w:ind w:left="200"/>
              <w:spacing w:after="0" w:line="265" w:lineRule="exact"/>
              <w:rPr>
                <w:sz w:val="20"/>
                <w:szCs w:val="20"/>
                <w:color w:val="auto"/>
              </w:rPr>
            </w:pPr>
            <w:r>
              <w:rPr>
                <w:rFonts w:ascii="Arial" w:cs="Arial" w:eastAsia="Arial" w:hAnsi="Arial"/>
                <w:sz w:val="18"/>
                <w:szCs w:val="18"/>
                <w:color w:val="auto"/>
              </w:rPr>
              <w:t xml:space="preserve">Divested businesses </w:t>
            </w:r>
            <w:r>
              <w:rPr>
                <w:rFonts w:ascii="Arial" w:cs="Arial" w:eastAsia="Arial" w:hAnsi="Arial"/>
                <w:sz w:val="24"/>
                <w:szCs w:val="24"/>
                <w:color w:val="auto"/>
                <w:vertAlign w:val="superscript"/>
              </w:rPr>
              <w:t>(i)</w:t>
            </w:r>
          </w:p>
        </w:tc>
        <w:tc>
          <w:tcPr>
            <w:tcW w:w="720" w:type="dxa"/>
            <w:vAlign w:val="bottom"/>
          </w:tcPr>
          <w:p>
            <w:pPr>
              <w:spacing w:after="0"/>
              <w:rPr>
                <w:sz w:val="23"/>
                <w:szCs w:val="23"/>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w:t>
            </w: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Reimbursable expenses and other</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w:t>
            </w: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84"/>
              </w:rPr>
              <w:t>1,953</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1,973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6,144</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6,292</w:t>
            </w:r>
          </w:p>
        </w:tc>
      </w:tr>
      <w:tr>
        <w:trPr>
          <w:trHeight w:val="362"/>
        </w:trPr>
        <w:tc>
          <w:tcPr>
            <w:tcW w:w="5800" w:type="dxa"/>
            <w:vAlign w:val="bottom"/>
          </w:tcPr>
          <w:p>
            <w:pPr>
              <w:ind w:left="200"/>
              <w:spacing w:after="0"/>
              <w:rPr>
                <w:sz w:val="20"/>
                <w:szCs w:val="20"/>
                <w:color w:val="auto"/>
              </w:rPr>
            </w:pPr>
            <w:r>
              <w:rPr>
                <w:rFonts w:ascii="Arial" w:cs="Arial" w:eastAsia="Arial" w:hAnsi="Arial"/>
                <w:sz w:val="18"/>
                <w:szCs w:val="18"/>
                <w:color w:val="auto"/>
              </w:rPr>
              <w:t>Total segment operating income</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341</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1,175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1,246</w:t>
            </w:r>
          </w:p>
        </w:tc>
      </w:tr>
      <w:tr>
        <w:trPr>
          <w:trHeight w:val="216"/>
        </w:trPr>
        <w:tc>
          <w:tcPr>
            <w:tcW w:w="5800" w:type="dxa"/>
            <w:vAlign w:val="bottom"/>
          </w:tcPr>
          <w:p>
            <w:pPr>
              <w:ind w:left="200"/>
              <w:spacing w:after="0" w:line="216" w:lineRule="exact"/>
              <w:rPr>
                <w:sz w:val="20"/>
                <w:szCs w:val="20"/>
                <w:color w:val="auto"/>
              </w:rPr>
            </w:pPr>
            <w:r>
              <w:rPr>
                <w:rFonts w:ascii="Arial" w:cs="Arial" w:eastAsia="Arial" w:hAnsi="Arial"/>
                <w:sz w:val="18"/>
                <w:szCs w:val="18"/>
                <w:color w:val="auto"/>
              </w:rPr>
              <w:t xml:space="preserve">Divested businesses </w:t>
            </w:r>
            <w:r>
              <w:rPr>
                <w:rFonts w:ascii="Arial" w:cs="Arial" w:eastAsia="Arial" w:hAnsi="Arial"/>
                <w:sz w:val="24"/>
                <w:szCs w:val="24"/>
                <w:color w:val="auto"/>
                <w:vertAlign w:val="superscript"/>
              </w:rPr>
              <w:t>(i)</w:t>
            </w:r>
          </w:p>
        </w:tc>
        <w:tc>
          <w:tcPr>
            <w:tcW w:w="720" w:type="dxa"/>
            <w:vAlign w:val="bottom"/>
          </w:tcPr>
          <w:p>
            <w:pPr>
              <w:spacing w:after="0"/>
              <w:rPr>
                <w:sz w:val="18"/>
                <w:szCs w:val="18"/>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66"/>
        </w:trPr>
        <w:tc>
          <w:tcPr>
            <w:tcW w:w="5800" w:type="dxa"/>
            <w:vAlign w:val="bottom"/>
          </w:tcPr>
          <w:p>
            <w:pPr>
              <w:ind w:left="200"/>
              <w:spacing w:after="0" w:line="265" w:lineRule="exact"/>
              <w:rPr>
                <w:sz w:val="20"/>
                <w:szCs w:val="20"/>
                <w:color w:val="auto"/>
              </w:rPr>
            </w:pPr>
            <w:r>
              <w:rPr>
                <w:rFonts w:ascii="Arial" w:cs="Arial" w:eastAsia="Arial" w:hAnsi="Arial"/>
                <w:sz w:val="18"/>
                <w:szCs w:val="18"/>
                <w:color w:val="auto"/>
              </w:rPr>
              <w:t xml:space="preserve">Impairment </w:t>
            </w:r>
            <w:r>
              <w:rPr>
                <w:rFonts w:ascii="Arial" w:cs="Arial" w:eastAsia="Arial" w:hAnsi="Arial"/>
                <w:sz w:val="24"/>
                <w:szCs w:val="24"/>
                <w:color w:val="auto"/>
                <w:vertAlign w:val="superscript"/>
              </w:rPr>
              <w:t>(ii)</w:t>
            </w:r>
          </w:p>
        </w:tc>
        <w:tc>
          <w:tcPr>
            <w:tcW w:w="720" w:type="dxa"/>
            <w:vAlign w:val="bottom"/>
          </w:tcPr>
          <w:p>
            <w:pPr>
              <w:spacing w:after="0"/>
              <w:rPr>
                <w:sz w:val="23"/>
                <w:szCs w:val="23"/>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(71 )</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(285 )</w:t>
            </w:r>
          </w:p>
        </w:tc>
      </w:tr>
      <w:tr>
        <w:trPr>
          <w:trHeight w:val="166"/>
        </w:trPr>
        <w:tc>
          <w:tcPr>
            <w:tcW w:w="5800" w:type="dxa"/>
            <w:vAlign w:val="bottom"/>
          </w:tcPr>
          <w:p>
            <w:pPr>
              <w:ind w:left="200"/>
              <w:spacing w:after="0" w:line="166" w:lineRule="exact"/>
              <w:rPr>
                <w:sz w:val="20"/>
                <w:szCs w:val="20"/>
                <w:color w:val="auto"/>
              </w:rPr>
            </w:pPr>
            <w:r>
              <w:rPr>
                <w:rFonts w:ascii="Arial" w:cs="Arial" w:eastAsia="Arial" w:hAnsi="Arial"/>
                <w:sz w:val="18"/>
                <w:szCs w:val="18"/>
                <w:color w:val="auto"/>
              </w:rPr>
              <w:t>Restructuring costs</w:t>
            </w:r>
          </w:p>
        </w:tc>
        <w:tc>
          <w:tcPr>
            <w:tcW w:w="720" w:type="dxa"/>
            <w:vAlign w:val="bottom"/>
          </w:tcPr>
          <w:p>
            <w:pPr>
              <w:spacing w:after="0"/>
              <w:rPr>
                <w:sz w:val="14"/>
                <w:szCs w:val="14"/>
                <w:color w:val="auto"/>
              </w:rPr>
            </w:pPr>
          </w:p>
        </w:tc>
        <w:tc>
          <w:tcPr>
            <w:tcW w:w="540" w:type="dxa"/>
            <w:vAlign w:val="bottom"/>
          </w:tcPr>
          <w:p>
            <w:pPr>
              <w:jc w:val="right"/>
              <w:spacing w:after="0" w:line="166" w:lineRule="exact"/>
              <w:rPr>
                <w:sz w:val="20"/>
                <w:szCs w:val="20"/>
                <w:color w:val="auto"/>
              </w:rPr>
            </w:pPr>
            <w:r>
              <w:rPr>
                <w:rFonts w:ascii="Arial" w:cs="Arial" w:eastAsia="Arial" w:hAnsi="Arial"/>
                <w:sz w:val="18"/>
                <w:szCs w:val="18"/>
                <w:color w:val="auto"/>
              </w:rPr>
              <w:t>(9 )</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right"/>
              <w:ind w:right="30"/>
              <w:spacing w:after="0" w:line="16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line="166" w:lineRule="exact"/>
              <w:rPr>
                <w:sz w:val="20"/>
                <w:szCs w:val="20"/>
                <w:color w:val="auto"/>
              </w:rPr>
            </w:pPr>
            <w:r>
              <w:rPr>
                <w:rFonts w:ascii="Arial" w:cs="Arial" w:eastAsia="Arial" w:hAnsi="Arial"/>
                <w:sz w:val="18"/>
                <w:szCs w:val="18"/>
                <w:color w:val="auto"/>
              </w:rPr>
              <w:t>(71 )</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1"/>
              <w:spacing w:after="0" w:line="166" w:lineRule="exact"/>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200"/>
              <w:spacing w:after="0" w:line="216" w:lineRule="exact"/>
              <w:rPr>
                <w:sz w:val="20"/>
                <w:szCs w:val="20"/>
                <w:color w:val="auto"/>
              </w:rPr>
            </w:pPr>
            <w:r>
              <w:rPr>
                <w:rFonts w:ascii="Arial" w:cs="Arial" w:eastAsia="Arial" w:hAnsi="Arial"/>
                <w:sz w:val="18"/>
                <w:szCs w:val="18"/>
                <w:color w:val="auto"/>
              </w:rPr>
              <w:t xml:space="preserve">Transaction and transformation, net </w:t>
            </w:r>
            <w:r>
              <w:rPr>
                <w:rFonts w:ascii="Arial" w:cs="Arial" w:eastAsia="Arial" w:hAnsi="Arial"/>
                <w:sz w:val="24"/>
                <w:szCs w:val="24"/>
                <w:color w:val="auto"/>
                <w:vertAlign w:val="superscript"/>
              </w:rPr>
              <w:t>(iii)</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(50 )</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877</w:t>
            </w:r>
          </w:p>
        </w:tc>
      </w:tr>
      <w:tr>
        <w:trPr>
          <w:trHeight w:val="266"/>
        </w:trPr>
        <w:tc>
          <w:tcPr>
            <w:tcW w:w="5800" w:type="dxa"/>
            <w:vAlign w:val="bottom"/>
          </w:tcPr>
          <w:p>
            <w:pPr>
              <w:ind w:left="200"/>
              <w:spacing w:after="0" w:line="265" w:lineRule="exact"/>
              <w:rPr>
                <w:sz w:val="20"/>
                <w:szCs w:val="20"/>
                <w:color w:val="auto"/>
              </w:rPr>
            </w:pPr>
            <w:r>
              <w:rPr>
                <w:rFonts w:ascii="Arial" w:cs="Arial" w:eastAsia="Arial" w:hAnsi="Arial"/>
                <w:sz w:val="18"/>
                <w:szCs w:val="18"/>
                <w:color w:val="auto"/>
              </w:rPr>
              <w:t xml:space="preserve">Unallocated, net </w:t>
            </w:r>
            <w:r>
              <w:rPr>
                <w:rFonts w:ascii="Arial" w:cs="Arial" w:eastAsia="Arial" w:hAnsi="Arial"/>
                <w:sz w:val="24"/>
                <w:szCs w:val="24"/>
                <w:color w:val="auto"/>
                <w:vertAlign w:val="superscript"/>
              </w:rPr>
              <w:t>(iv)</w:t>
            </w:r>
          </w:p>
        </w:tc>
        <w:tc>
          <w:tcPr>
            <w:tcW w:w="7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4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(277 )</w:t>
            </w:r>
          </w:p>
        </w:tc>
      </w:tr>
      <w:tr>
        <w:trPr>
          <w:trHeight w:val="209"/>
        </w:trPr>
        <w:tc>
          <w:tcPr>
            <w:tcW w:w="580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spacing w:after="0"/>
              <w:rPr>
                <w:sz w:val="18"/>
                <w:szCs w:val="18"/>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1,512</w:t>
            </w:r>
          </w:p>
        </w:tc>
      </w:tr>
      <w:tr>
        <w:trPr>
          <w:trHeight w:val="216"/>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(161 )</w:t>
            </w: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617</w:t>
            </w:r>
          </w:p>
        </w:tc>
      </w:tr>
      <w:tr>
        <w:trPr>
          <w:trHeight w:val="249"/>
        </w:trPr>
        <w:tc>
          <w:tcPr>
            <w:tcW w:w="5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1,186</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-2131695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-1711960</wp:posOffset>
            </wp:positionV>
            <wp:extent cx="7132320" cy="2997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282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-24765</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-7620</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the revenue and income from operations of certain Investment, Risk and Reinsurance businesses which were divested in 2021 and not classified as discontinued operations.</w:t>
      </w:r>
    </w:p>
    <w:p>
      <w:pPr>
        <w:spacing w:after="0" w:line="52" w:lineRule="exact"/>
        <w:rPr>
          <w:rFonts w:ascii="Arial" w:cs="Arial" w:eastAsia="Arial" w:hAnsi="Arial"/>
          <w:sz w:val="13"/>
          <w:szCs w:val="13"/>
          <w:color w:val="auto"/>
        </w:rPr>
      </w:pPr>
    </w:p>
    <w:p>
      <w:pPr>
        <w:ind w:left="280" w:hanging="272"/>
        <w:spacing w:after="0"/>
        <w:tabs>
          <w:tab w:leader="none" w:pos="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the impairment related to the net assets of our Russian business that are held outside of our Russian entities (see Note 3 — Acquisitions and Divestitures for further information).</w:t>
      </w:r>
    </w:p>
    <w:p>
      <w:pPr>
        <w:spacing w:after="0" w:line="52" w:lineRule="exact"/>
        <w:rPr>
          <w:rFonts w:ascii="Arial" w:cs="Arial" w:eastAsia="Arial" w:hAnsi="Arial"/>
          <w:sz w:val="13"/>
          <w:szCs w:val="13"/>
          <w:color w:val="auto"/>
        </w:rPr>
      </w:pPr>
    </w:p>
    <w:p>
      <w:pPr>
        <w:ind w:left="280" w:right="120" w:hanging="272"/>
        <w:spacing w:after="0" w:line="271" w:lineRule="auto"/>
        <w:tabs>
          <w:tab w:leader="none" w:pos="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2022, in addition to legal fees and other transaction costs, includes primarily consulting fees related to the Transformation program (see Note 6 — Restructuring Costs). In 2021, includes the $1 billion income receipt related to the termination of, and fees related to, our then-proposed Aon combination.</w:t>
      </w:r>
    </w:p>
    <w:p>
      <w:pPr>
        <w:ind w:left="280" w:right="100" w:hanging="272"/>
        <w:spacing w:after="0" w:line="272" w:lineRule="auto"/>
        <w:tabs>
          <w:tab w:leader="none" w:pos="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5" w:lineRule="exact"/>
        <w:rPr>
          <w:sz w:val="20"/>
          <w:szCs w:val="20"/>
          <w:color w:val="auto"/>
        </w:rPr>
      </w:pPr>
    </w:p>
    <w:p>
      <w:pPr>
        <w:ind w:right="460"/>
        <w:spacing w:after="0" w:line="367" w:lineRule="auto"/>
        <w:rPr>
          <w:sz w:val="20"/>
          <w:szCs w:val="20"/>
          <w:color w:val="auto"/>
        </w:rPr>
      </w:pPr>
      <w:r>
        <w:rPr>
          <w:rFonts w:ascii="Arial" w:cs="Arial" w:eastAsia="Arial" w:hAnsi="Arial"/>
          <w:sz w:val="18"/>
          <w:szCs w:val="18"/>
          <w:color w:val="auto"/>
        </w:rPr>
        <w:t xml:space="preserve">The Company does not currently provide asset information by reportable segment as it does not routinely evaluate the total asset position by segment. </w:t>
      </w:r>
      <w:r>
        <w:rPr>
          <w:rFonts w:ascii="Arial" w:cs="Arial" w:eastAsia="Arial" w:hAnsi="Arial"/>
          <w:sz w:val="18"/>
          <w:szCs w:val="18"/>
          <w:b w:val="1"/>
          <w:bCs w:val="1"/>
          <w:color w:val="auto"/>
        </w:rPr>
        <w:t>Note 6 — Restructuring Costs</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the fourth quarter of 2021, the Company initiated a three-year ‘Transformation program’ designed to enhance operations, optimize technology and align its real estate footprint to its new ways of working. During the third quarter of 2022, we revised the expected costs and savings under the program and we now expect the program to generate annual cost savings in excess of $360 million by the end of 2024. The program is expected to incur cumulative costs of approximately $630 million and capital expenditures of approximately $270 million, for a total investment of $900 million. The main categories of charges will be in the following four areas:</w:t>
      </w:r>
    </w:p>
    <w:p>
      <w:pPr>
        <w:spacing w:after="0" w:line="90" w:lineRule="exact"/>
        <w:rPr>
          <w:sz w:val="20"/>
          <w:szCs w:val="20"/>
          <w:color w:val="auto"/>
        </w:rPr>
      </w:pPr>
    </w:p>
    <w:p>
      <w:pPr>
        <w:ind w:left="760" w:right="320" w:hanging="378"/>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 estate rationalization — includes costs to align the real estate footprint to the new ways of working (hybrid work) and includes breakage fees and the impairment of right-of-use assets and other related leasehold assets.</w:t>
      </w:r>
    </w:p>
    <w:p>
      <w:pPr>
        <w:spacing w:after="0" w:line="62" w:lineRule="exact"/>
        <w:rPr>
          <w:rFonts w:ascii="Arial" w:cs="Arial" w:eastAsia="Arial" w:hAnsi="Arial"/>
          <w:sz w:val="18"/>
          <w:szCs w:val="18"/>
          <w:color w:val="auto"/>
        </w:rPr>
      </w:pPr>
    </w:p>
    <w:p>
      <w:pPr>
        <w:jc w:val="both"/>
        <w:ind w:left="760" w:hanging="378"/>
        <w:spacing w:after="0" w:line="255"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68" w:lineRule="exact"/>
        <w:rPr>
          <w:rFonts w:ascii="Arial" w:cs="Arial" w:eastAsia="Arial" w:hAnsi="Arial"/>
          <w:sz w:val="18"/>
          <w:szCs w:val="18"/>
          <w:color w:val="auto"/>
        </w:rPr>
      </w:pPr>
    </w:p>
    <w:p>
      <w:pPr>
        <w:ind w:left="760" w:right="20" w:hanging="378"/>
        <w:spacing w:after="0" w:line="255"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68"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 other costs not included above including fees for professional services, other contract terminations not related to the above categories and supplier migration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8" w:name="page19"/>
    <w:bookmarkEnd w:id="18"/>
    <w:p>
      <w:pPr>
        <w:spacing w:after="0" w:line="249" w:lineRule="auto"/>
        <w:rPr>
          <w:sz w:val="20"/>
          <w:szCs w:val="20"/>
          <w:color w:val="auto"/>
        </w:rPr>
      </w:pPr>
      <w:r>
        <w:rPr>
          <w:rFonts w:ascii="Arial" w:cs="Arial" w:eastAsia="Arial" w:hAnsi="Arial"/>
          <w:sz w:val="18"/>
          <w:szCs w:val="18"/>
          <w:color w:val="auto"/>
        </w:rPr>
        <w:t xml:space="preserve">Certain costs under the Transformation program are accounted for under ASC 420, </w:t>
      </w:r>
      <w:r>
        <w:rPr>
          <w:rFonts w:ascii="Arial" w:cs="Arial" w:eastAsia="Arial" w:hAnsi="Arial"/>
          <w:sz w:val="18"/>
          <w:szCs w:val="18"/>
          <w:i w:val="1"/>
          <w:iCs w:val="1"/>
          <w:color w:val="auto"/>
        </w:rPr>
        <w:t>Exit or Disposal Cost Obligation,</w:t>
      </w:r>
      <w:r>
        <w:rPr>
          <w:rFonts w:ascii="Arial" w:cs="Arial" w:eastAsia="Arial" w:hAnsi="Arial"/>
          <w:sz w:val="18"/>
          <w:szCs w:val="18"/>
          <w:color w:val="auto"/>
        </w:rPr>
        <w:t xml:space="preserve"> and are included as restructuring costs in the condensed consolidated statements of comprehensive income. Other costs incurred under the Transformation program are included in transaction and transformation, net and were $42 million and $73 million for the three and nine months ended September 30, 2022, respectively. An analysis of total restructuring costs incurred under the Transformation program by category and by segment and corporate functions, from commencement to September 30, 2022,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HWC</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R&amp;B</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0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2021</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Real estate rationalization</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modernization</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Process optimization</w:t>
            </w:r>
          </w:p>
        </w:tc>
        <w:tc>
          <w:tcPr>
            <w:tcW w:w="8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 estate rationalization</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w:t>
            </w: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Technology modernization</w:t>
            </w:r>
          </w:p>
        </w:tc>
        <w:tc>
          <w:tcPr>
            <w:tcW w:w="8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w:t>
            </w: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Process optimization</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Real estate rationalization</w:t>
            </w:r>
          </w:p>
        </w:tc>
        <w:tc>
          <w:tcPr>
            <w:tcW w:w="8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w:t>
            </w: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modernization</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Process optimization</w:t>
            </w:r>
          </w:p>
        </w:tc>
        <w:tc>
          <w:tcPr>
            <w:tcW w:w="8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16"/>
        </w:trPr>
        <w:tc>
          <w:tcPr>
            <w:tcW w:w="5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09"/>
        </w:trPr>
        <w:tc>
          <w:tcPr>
            <w:tcW w:w="5660" w:type="dxa"/>
            <w:vAlign w:val="bottom"/>
          </w:tcPr>
          <w:p>
            <w:pPr>
              <w:ind w:left="30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97</w:t>
            </w:r>
          </w:p>
        </w:tc>
      </w:tr>
      <w:tr>
        <w:trPr>
          <w:trHeight w:val="20"/>
        </w:trPr>
        <w:tc>
          <w:tcPr>
            <w:tcW w:w="5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-170815</wp:posOffset>
            </wp:positionV>
            <wp:extent cx="8572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-170815</wp:posOffset>
            </wp:positionV>
            <wp:extent cx="76835"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-170815</wp:posOffset>
            </wp:positionV>
            <wp:extent cx="7683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rollforward of the liability associated with cash-based charges related to restructuring costs associated with the Transformation program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Real estate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99"/>
              <w:spacing w:after="0"/>
              <w:rPr>
                <w:sz w:val="20"/>
                <w:szCs w:val="20"/>
                <w:color w:val="auto"/>
              </w:rPr>
            </w:pPr>
            <w:r>
              <w:rPr>
                <w:rFonts w:ascii="Arial" w:cs="Arial" w:eastAsia="Arial" w:hAnsi="Arial"/>
                <w:sz w:val="14"/>
                <w:szCs w:val="14"/>
                <w:b w:val="1"/>
                <w:bCs w:val="1"/>
                <w:color w:val="auto"/>
              </w:rPr>
              <w:t>Technology</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Process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rationalization</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modernization</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optimization</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October 1, 2021</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Charges incurred</w:t>
            </w:r>
          </w:p>
        </w:tc>
        <w:tc>
          <w:tcPr>
            <w:tcW w:w="96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payments</w:t>
            </w:r>
          </w:p>
        </w:tc>
        <w:tc>
          <w:tcPr>
            <w:tcW w:w="9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96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Charges incurred</w:t>
            </w: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(12 )</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(1 )</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9"/>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-589915</wp:posOffset>
            </wp:positionV>
            <wp:extent cx="6858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-589915</wp:posOffset>
            </wp:positionV>
            <wp:extent cx="5969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-589915</wp:posOffset>
            </wp:positionV>
            <wp:extent cx="5969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-589915</wp:posOffset>
            </wp:positionV>
            <wp:extent cx="5969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-24765</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-7620</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-24765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-7620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Provision for income taxes for the three and nine months ended September 30, 2022 was $1 million and $63 million, respectively, compared to $267 million and $386 million for the three and nine months ended September 30, 2021, respectively. The effective tax rates were 0.7% and 12.1% for the three and nine months ended September 30, 2022, respectively, and 22.5% and 19.6% for the three and nine months ended September 30, 2021, respectively. These effective tax rates are calculated using extended values from the Company’s condensed consolidated statements of comprehensive income and are, therefore, more precise tax rates than can be calculated from rounded values. The prior-year quarter’s effective tax rate was higher due to the tax expense associated with the income receipt related to the termination of our then-proposed combination with Aon. Additionally, the current-quarter’s effective tax rate includes discrete tax benefits related to amending the Company’s U.S. federal and state tax returns to change certain elections available under the Coronavirus Aid, Relief, and Economic Security (‘CARES’) Act as well as excess tax benefits on executive share-based compensation.</w:t>
      </w:r>
    </w:p>
    <w:p>
      <w:pPr>
        <w:spacing w:after="0" w:line="108"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0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 xml:space="preserve">The Company records valuation allowances against net deferred tax assets based on whether it is more likely than not that the deferred tax assets will be realized. It has liabilities for uncertain tax positions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$31 million, excluding interest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9" w:name="page20"/>
    <w:bookmarkEnd w:id="19"/>
    <w:p>
      <w:pPr>
        <w:ind w:right="440"/>
        <w:spacing w:after="0" w:line="277" w:lineRule="auto"/>
        <w:rPr>
          <w:sz w:val="20"/>
          <w:szCs w:val="20"/>
          <w:color w:val="auto"/>
        </w:rPr>
      </w:pPr>
      <w:r>
        <w:rPr>
          <w:rFonts w:ascii="Arial" w:cs="Arial" w:eastAsia="Arial" w:hAnsi="Arial"/>
          <w:sz w:val="18"/>
          <w:szCs w:val="18"/>
          <w:color w:val="auto"/>
        </w:rPr>
        <w:t>and penalties. The Company believes the outcomes that are reasonably possible within the next 12 months may result in a reduction in the liability for uncertain tax positions of approximately $3 million to $4 million, excluding interest and penalties.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Other Intangible Assets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The components of goodwill are outlined below for the nine months ended September 30, 2022. The prior year segment information has been retrospectively adjusted to conform to the current year presentation.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HWC</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R&amp;B</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20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Arial" w:cs="Arial" w:eastAsia="Arial" w:hAnsi="Arial"/>
                <w:sz w:val="18"/>
                <w:szCs w:val="18"/>
                <w:color w:val="auto"/>
              </w:rPr>
              <w:t>Goodwill, gross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7,904</w:t>
            </w:r>
          </w:p>
        </w:tc>
        <w:tc>
          <w:tcPr>
            <w:tcW w:w="10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2,771</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10,675</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impairment losses</w:t>
            </w: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(130 )</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(492 )</w:t>
            </w: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color w:val="auto"/>
              </w:rPr>
              <w:t>Goodwill, net - December 31, 2021</w:t>
            </w:r>
          </w:p>
        </w:tc>
        <w:tc>
          <w:tcPr>
            <w:tcW w:w="88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7,774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2,409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10,183</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acquired</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Goodwill disposals</w:t>
            </w:r>
          </w:p>
        </w:tc>
        <w:tc>
          <w:tcPr>
            <w:tcW w:w="88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1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w:t>
            </w: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(62 )</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(179 )</w:t>
            </w: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 gross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3"/>
              </w:rPr>
              <w:t>7,842</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2,739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10,581</w:t>
            </w:r>
          </w:p>
        </w:tc>
      </w:tr>
      <w:tr>
        <w:trPr>
          <w:trHeight w:val="216"/>
        </w:trPr>
        <w:tc>
          <w:tcPr>
            <w:tcW w:w="6620" w:type="dxa"/>
            <w:vAlign w:val="bottom"/>
          </w:tcPr>
          <w:p>
            <w:pPr>
              <w:ind w:left="200"/>
              <w:spacing w:after="0"/>
              <w:rPr>
                <w:sz w:val="20"/>
                <w:szCs w:val="20"/>
                <w:color w:val="auto"/>
              </w:rPr>
            </w:pPr>
            <w:r>
              <w:rPr>
                <w:rFonts w:ascii="Arial" w:cs="Arial" w:eastAsia="Arial" w:hAnsi="Arial"/>
                <w:sz w:val="18"/>
                <w:szCs w:val="18"/>
                <w:color w:val="auto"/>
              </w:rPr>
              <w:t>Accumulated impairment losses</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(492 )</w:t>
            </w:r>
          </w:p>
        </w:tc>
      </w:tr>
      <w:tr>
        <w:trPr>
          <w:trHeight w:val="24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 net - September 30, 2022</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3"/>
              </w:rPr>
              <w:t>7,712</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2,377</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-1146810</wp:posOffset>
            </wp:positionV>
            <wp:extent cx="11112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-1146810</wp:posOffset>
            </wp:positionV>
            <wp:extent cx="10287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-589915</wp:posOffset>
            </wp:positionV>
            <wp:extent cx="111125"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-589915</wp:posOffset>
            </wp:positionV>
            <wp:extent cx="102870"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1111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1028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07"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The followin</w:t>
      </w:r>
      <w:r>
        <w:rPr>
          <w:rFonts w:ascii="Arial" w:cs="Arial" w:eastAsia="Arial" w:hAnsi="Arial"/>
          <w:sz w:val="17"/>
          <w:szCs w:val="17"/>
          <w:color w:val="auto"/>
        </w:rPr>
        <w:t>g table reflects changes in the net carrying amounts of the components of finite-lived intangible assets for the nine months ended September 30,</w:t>
      </w:r>
      <w:r>
        <w:rPr>
          <w:rFonts w:ascii="Arial" w:cs="Arial" w:eastAsia="Arial" w:hAnsi="Arial"/>
          <w:sz w:val="16"/>
          <w:szCs w:val="16"/>
          <w:color w:val="auto"/>
        </w:rPr>
        <w:t xml:space="preserve"> </w:t>
      </w:r>
      <w:r>
        <w:rPr>
          <w:rFonts w:ascii="Arial" w:cs="Arial" w:eastAsia="Arial" w:hAnsi="Arial"/>
          <w:sz w:val="17"/>
          <w:szCs w:val="17"/>
          <w:color w:val="auto"/>
        </w:rPr>
        <w:t>2022: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Client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Software</w:t>
            </w:r>
          </w:p>
        </w:tc>
        <w:tc>
          <w:tcPr>
            <w:tcW w:w="280" w:type="dxa"/>
            <w:vAlign w:val="bottom"/>
          </w:tcPr>
          <w:p>
            <w:pPr>
              <w:spacing w:after="0"/>
              <w:rPr>
                <w:sz w:val="14"/>
                <w:szCs w:val="14"/>
                <w:color w:val="auto"/>
              </w:rPr>
            </w:pPr>
          </w:p>
        </w:tc>
        <w:tc>
          <w:tcPr>
            <w:tcW w:w="12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9"/>
              </w:rPr>
              <w:t>Trademark and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1"/>
              </w:rPr>
              <w:t>relationships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trade name</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Intangible assets, gross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3,794</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1,039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(2,118 )</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(701 )</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(257 )</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(3,122 )</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Intangible assets, net - December 31, 2021</w:t>
            </w:r>
          </w:p>
        </w:tc>
        <w:tc>
          <w:tcPr>
            <w:tcW w:w="1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1,676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782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acquired</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Intangible asset disposals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(173 )</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Intangible assets, gross</w:t>
            </w:r>
          </w:p>
        </w:tc>
        <w:tc>
          <w:tcPr>
            <w:tcW w:w="1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3,691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1,035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(2,186 )</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(692 )</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(286 )</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(3,217 )</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Intangible assets, net - September 30, 2022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1,505</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749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-1283970</wp:posOffset>
            </wp:positionV>
            <wp:extent cx="188595"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8595" cy="14541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-1283970</wp:posOffset>
            </wp:positionV>
            <wp:extent cx="188595"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8595" cy="14541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-1283970</wp:posOffset>
            </wp:positionV>
            <wp:extent cx="179705"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9705" cy="14541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-1283970</wp:posOffset>
            </wp:positionV>
            <wp:extent cx="179705" cy="145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9705" cy="14541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-170815</wp:posOffset>
            </wp:positionV>
            <wp:extent cx="188595"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-170815</wp:posOffset>
            </wp:positionV>
            <wp:extent cx="18859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-170815</wp:posOffset>
            </wp:positionV>
            <wp:extent cx="179705"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-170815</wp:posOffset>
            </wp:positionV>
            <wp:extent cx="179705"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9705" cy="1714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life of amortizable intangible assets at September 30, 2022 was 12.6 years.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future estimated amortization expense for amortizable intangible assets for the remainder of 2022 and for subsequent years: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Amortization</w:t>
            </w: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2022</w:t>
            </w:r>
          </w:p>
        </w:tc>
        <w:tc>
          <w:tcPr>
            <w:tcW w:w="56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w:t>
            </w: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2023</w:t>
            </w: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257</w:t>
            </w: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5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224</w:t>
            </w: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2025</w:t>
            </w: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204</w:t>
            </w: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5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197</w:t>
            </w: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1,362</w:t>
            </w: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56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2,314</w:t>
            </w:r>
          </w:p>
        </w:tc>
      </w:tr>
      <w:tr>
        <w:trPr>
          <w:trHeight w:val="574"/>
        </w:trPr>
        <w:tc>
          <w:tcPr>
            <w:tcW w:w="3480" w:type="dxa"/>
            <w:vAlign w:val="bottom"/>
          </w:tcPr>
          <w:p>
            <w:pPr>
              <w:spacing w:after="0"/>
              <w:rPr>
                <w:sz w:val="24"/>
                <w:szCs w:val="24"/>
                <w:color w:val="auto"/>
              </w:rPr>
            </w:pPr>
          </w:p>
        </w:tc>
        <w:tc>
          <w:tcPr>
            <w:tcW w:w="5680" w:type="dxa"/>
            <w:vAlign w:val="bottom"/>
          </w:tcPr>
          <w:p>
            <w:pPr>
              <w:jc w:val="right"/>
              <w:ind w:right="335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9"/>
                <w:szCs w:val="9"/>
                <w:color w:val="auto"/>
              </w:rPr>
            </w:pPr>
          </w:p>
        </w:tc>
        <w:tc>
          <w:tcPr>
            <w:tcW w:w="56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12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Note 17 — Accumulated Other Comprehensive Loss.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Risk</w:t>
      </w:r>
    </w:p>
    <w:p>
      <w:pPr>
        <w:spacing w:after="0" w:line="122"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Certain non-U.S</w:t>
      </w:r>
      <w:r>
        <w:rPr>
          <w:rFonts w:ascii="Arial" w:cs="Arial" w:eastAsia="Arial" w:hAnsi="Arial"/>
          <w:sz w:val="17"/>
          <w:szCs w:val="17"/>
          <w:color w:val="auto"/>
        </w:rPr>
        <w:t>. subsidiaries receive revenue and incur expenses in currencies other than their functional currency, and as a result, the foreign subsidiary’s</w:t>
      </w:r>
      <w:r>
        <w:rPr>
          <w:rFonts w:ascii="Arial" w:cs="Arial" w:eastAsia="Arial" w:hAnsi="Arial"/>
          <w:sz w:val="16"/>
          <w:szCs w:val="16"/>
          <w:color w:val="auto"/>
        </w:rPr>
        <w:t xml:space="preserve"> </w:t>
      </w:r>
      <w:r>
        <w:rPr>
          <w:rFonts w:ascii="Arial" w:cs="Arial" w:eastAsia="Arial" w:hAnsi="Arial"/>
          <w:sz w:val="17"/>
          <w:szCs w:val="17"/>
          <w:color w:val="auto"/>
        </w:rPr>
        <w:t>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 To reduce such variability, we use foreign exchange contracts to hedge against this currency risk.</w:t>
      </w:r>
    </w:p>
    <w:p>
      <w:pPr>
        <w:spacing w:after="0" w:line="113"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These derivatives were designated as hedging instruments and at September 30, 2022 and December 31, 2021 had total notional amounts of $127 million and $155 million, respectively, and had a net liability fair value of $9 million and a net asset fair value of $3 million, respectively.</w:t>
      </w:r>
    </w:p>
    <w:p>
      <w:pPr>
        <w:spacing w:after="0" w:line="9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At September 30, 2022, the Company estimates, based on current exchange rates, there will be $6 million of net derivative losses on forward exchange rates reclassified from accumulated other comprehensive loss into earnings within the next twelve months as the forecast transactions affect earnings. At September 30, 2022, our longest outstanding maturity was 1.7 years.</w:t>
      </w:r>
    </w:p>
    <w:p>
      <w:pPr>
        <w:spacing w:after="0" w:line="13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effects of the material derivative instruments that are designated as hedging instruments on the condensed consolidated statements of comprehensive income for the three and nine months ended September 30, 2022 and 2021 are below. Amounts pertaining to the ineffective portion of hedging instruments and those excluded from effectiveness testing were immaterial for the three and nine months ended September 30, 2022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right"/>
              <w:ind w:right="83"/>
              <w:spacing w:after="0"/>
              <w:rPr>
                <w:sz w:val="20"/>
                <w:szCs w:val="20"/>
                <w:color w:val="auto"/>
              </w:rPr>
            </w:pPr>
            <w:r>
              <w:rPr>
                <w:rFonts w:ascii="Arial" w:cs="Arial" w:eastAsia="Arial" w:hAnsi="Arial"/>
                <w:sz w:val="14"/>
                <w:szCs w:val="14"/>
                <w:b w:val="1"/>
                <w:bCs w:val="1"/>
                <w:color w:val="auto"/>
                <w:w w:val="92"/>
              </w:rPr>
              <w:t>(Loss)/gain recognized in OCI (effective element)</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54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30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6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Forward exchange contracts</w:t>
            </w:r>
          </w:p>
        </w:tc>
        <w:tc>
          <w:tcPr>
            <w:tcW w:w="1080" w:type="dxa"/>
            <w:vAlign w:val="bottom"/>
            <w:tcBorders>
              <w:top w:val="single" w:sz="8" w:color="auto"/>
              <w:bottom w:val="single" w:sz="8" w:color="auto"/>
            </w:tcBorders>
            <w:gridSpan w:val="2"/>
            <w:shd w:val="clear" w:color="auto" w:fill="CFF0FC"/>
          </w:tcPr>
          <w:p>
            <w:pPr>
              <w:jc w:val="right"/>
              <w:ind w:right="908"/>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(6 )</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gridSpan w:val="2"/>
            <w:shd w:val="clear" w:color="auto" w:fill="CFF0FC"/>
          </w:tcPr>
          <w:p>
            <w:pPr>
              <w:jc w:val="right"/>
              <w:ind w:right="92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(12 )</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56"/>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 of (loss)/gain reclassified from Accumulated OCL into</w:t>
            </w:r>
          </w:p>
        </w:tc>
        <w:tc>
          <w:tcPr>
            <w:tcW w:w="40" w:type="dxa"/>
            <w:vAlign w:val="bottom"/>
          </w:tcPr>
          <w:p>
            <w:pPr>
              <w:spacing w:after="0"/>
              <w:rPr>
                <w:sz w:val="24"/>
                <w:szCs w:val="24"/>
                <w:color w:val="auto"/>
              </w:rPr>
            </w:pPr>
          </w:p>
        </w:tc>
        <w:tc>
          <w:tcPr>
            <w:tcW w:w="4940" w:type="dxa"/>
            <w:vAlign w:val="bottom"/>
            <w:gridSpan w:val="9"/>
            <w:vMerge w:val="restart"/>
          </w:tcPr>
          <w:p>
            <w:pPr>
              <w:spacing w:after="0"/>
              <w:rPr>
                <w:sz w:val="20"/>
                <w:szCs w:val="20"/>
                <w:color w:val="auto"/>
              </w:rPr>
            </w:pPr>
            <w:r>
              <w:rPr>
                <w:rFonts w:ascii="Arial" w:cs="Arial" w:eastAsia="Arial" w:hAnsi="Arial"/>
                <w:sz w:val="14"/>
                <w:szCs w:val="14"/>
                <w:b w:val="1"/>
                <w:bCs w:val="1"/>
                <w:color w:val="auto"/>
                <w:w w:val="93"/>
              </w:rPr>
              <w:t>(Loss)/gain reclassified from Accumulated OCL into income (effective element)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(effective element)</w:t>
            </w:r>
          </w:p>
        </w:tc>
        <w:tc>
          <w:tcPr>
            <w:tcW w:w="40" w:type="dxa"/>
            <w:vAlign w:val="bottom"/>
          </w:tcPr>
          <w:p>
            <w:pPr>
              <w:spacing w:after="0"/>
              <w:rPr>
                <w:sz w:val="16"/>
                <w:szCs w:val="16"/>
                <w:color w:val="auto"/>
              </w:rPr>
            </w:pPr>
          </w:p>
        </w:tc>
        <w:tc>
          <w:tcPr>
            <w:tcW w:w="4940" w:type="dxa"/>
            <w:vAlign w:val="bottom"/>
            <w:gridSpan w:val="9"/>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20" w:type="dxa"/>
            <w:vAlign w:val="bottom"/>
            <w:tcBorders>
              <w:top w:val="single" w:sz="8" w:color="auto"/>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6"/>
          </w:tcPr>
          <w:p>
            <w:pPr>
              <w:jc w:val="right"/>
              <w:ind w:right="56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9"/>
                <w:szCs w:val="19"/>
                <w:color w:val="auto"/>
              </w:rPr>
            </w:pPr>
          </w:p>
        </w:tc>
        <w:tc>
          <w:tcPr>
            <w:tcW w:w="240" w:type="dxa"/>
            <w:vAlign w:val="bottom"/>
            <w:gridSpan w:val="2"/>
          </w:tcPr>
          <w:p>
            <w:pPr>
              <w:spacing w:after="0"/>
              <w:rPr>
                <w:sz w:val="19"/>
                <w:szCs w:val="19"/>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0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FF0FC"/>
          </w:tcPr>
          <w:p>
            <w:pPr>
              <w:jc w:val="right"/>
              <w:ind w:right="88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w:t>
            </w:r>
          </w:p>
        </w:tc>
        <w:tc>
          <w:tcPr>
            <w:tcW w:w="560" w:type="dxa"/>
            <w:vAlign w:val="bottom"/>
            <w:gridSpan w:val="4"/>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26"/>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Salaries and benefits</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(2 )</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2"/>
        </w:trPr>
        <w:tc>
          <w:tcPr>
            <w:tcW w:w="44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Discontinued operations</w:t>
            </w:r>
          </w:p>
        </w:tc>
        <w:tc>
          <w:tcPr>
            <w:tcW w:w="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(2 )</w:t>
            </w:r>
          </w:p>
        </w:tc>
        <w:tc>
          <w:tcPr>
            <w:tcW w:w="1300" w:type="dxa"/>
            <w:vAlign w:val="bottom"/>
            <w:gridSpan w:val="3"/>
          </w:tcPr>
          <w:p>
            <w:pPr>
              <w:jc w:val="right"/>
              <w:ind w:right="888"/>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5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5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-1351915</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-1351915</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-1351915</wp:posOffset>
            </wp:positionV>
            <wp:extent cx="1282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-179070</wp:posOffset>
            </wp:positionV>
            <wp:extent cx="145415"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5415" cy="17970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-179070</wp:posOffset>
            </wp:positionV>
            <wp:extent cx="13716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-179070</wp:posOffset>
            </wp:positionV>
            <wp:extent cx="13716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179705"/>
                    </a:xfrm>
                    <a:prstGeom prst="rect">
                      <a:avLst/>
                    </a:prstGeom>
                    <a:noFill/>
                  </pic:spPr>
                </pic:pic>
              </a:graphicData>
            </a:graphic>
          </wp:anchor>
        </w:drawing>
      </w:r>
    </w:p>
    <w:p>
      <w:pPr>
        <w:spacing w:after="0" w:line="141"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September 30, 2022 and December 31, 2021, we had notional amounts of $2.2 billion and $2.9 billion, respectively. At September 30, 2022 and December 31, 2021, we had a net liability fair value of $15 million and a net asset fair value of $15 million, respectively. Such derivatives typically mature within three months.</w:t>
      </w:r>
    </w:p>
    <w:p>
      <w:pPr>
        <w:spacing w:after="0" w:line="13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effects of these derivatives that have not been designated as hedging instruments on the condensed consolidated statements of comprehensive income for the three and nine months ended September 30, 2022 and 2021 are as follows (see Note 16 — Other Income, Net for the net foreign currency impact on the Company’s condensed consolidated statements of comprehensive income which includes the results of the offset of underlying exposures):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684"/>
              <w:spacing w:after="0"/>
              <w:rPr>
                <w:sz w:val="20"/>
                <w:szCs w:val="20"/>
                <w:color w:val="auto"/>
              </w:rPr>
            </w:pPr>
            <w:r>
              <w:rPr>
                <w:rFonts w:ascii="Arial" w:cs="Arial" w:eastAsia="Arial" w:hAnsi="Arial"/>
                <w:sz w:val="14"/>
                <w:szCs w:val="14"/>
                <w:b w:val="1"/>
                <w:bCs w:val="1"/>
                <w:color w:val="auto"/>
                <w:w w:val="95"/>
              </w:rPr>
              <w:t>(Loss)/gain recognized in income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4"/>
          </w:tcPr>
          <w:p>
            <w:pPr>
              <w:jc w:val="right"/>
              <w:ind w:right="185"/>
              <w:spacing w:after="0" w:line="146" w:lineRule="exact"/>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4"/>
          </w:tcPr>
          <w:p>
            <w:pPr>
              <w:ind w:left="280"/>
              <w:spacing w:after="0" w:line="146"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Location of (loss)/gain</w:t>
            </w:r>
          </w:p>
        </w:tc>
        <w:tc>
          <w:tcPr>
            <w:tcW w:w="7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4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8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recognized in income</w:t>
            </w:r>
          </w:p>
        </w:tc>
        <w:tc>
          <w:tcPr>
            <w:tcW w:w="1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Forward exchange contracts</w:t>
            </w:r>
          </w:p>
        </w:tc>
        <w:tc>
          <w:tcPr>
            <w:tcW w:w="140" w:type="dxa"/>
            <w:vAlign w:val="bottom"/>
            <w:tcBorders>
              <w:bottom w:val="single" w:sz="8" w:color="CFF0FC"/>
            </w:tcBorders>
            <w:shd w:val="clear" w:color="auto" w:fill="CFF0FC"/>
          </w:tcPr>
          <w:p>
            <w:pPr>
              <w:spacing w:after="0"/>
              <w:rPr>
                <w:sz w:val="20"/>
                <w:szCs w:val="20"/>
                <w:color w:val="auto"/>
              </w:rPr>
            </w:pPr>
          </w:p>
        </w:tc>
        <w:tc>
          <w:tcPr>
            <w:tcW w:w="240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2"/>
              </w:rPr>
              <w:t>Other income, net</w:t>
            </w:r>
          </w:p>
        </w:tc>
        <w:tc>
          <w:tcPr>
            <w:tcW w:w="70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(182 )</w:t>
            </w:r>
          </w:p>
        </w:tc>
        <w:tc>
          <w:tcPr>
            <w:tcW w:w="1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5"/>
              </w:rPr>
              <w:t>(208 )</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-24765</wp:posOffset>
            </wp:positionV>
            <wp:extent cx="93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93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-24765</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-7620</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-24765</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-7620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10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Current debt consists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434"/>
              <w:spacing w:after="0"/>
              <w:rPr>
                <w:sz w:val="20"/>
                <w:szCs w:val="20"/>
                <w:color w:val="auto"/>
              </w:rPr>
            </w:pPr>
            <w:r>
              <w:rPr>
                <w:rFonts w:ascii="Arial" w:cs="Arial" w:eastAsia="Arial" w:hAnsi="Arial"/>
                <w:sz w:val="14"/>
                <w:szCs w:val="14"/>
                <w:b w:val="1"/>
                <w:bCs w:val="1"/>
                <w:color w:val="auto"/>
                <w:w w:val="98"/>
              </w:rPr>
              <w:t>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43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7540" w:type="dxa"/>
            <w:vAlign w:val="bottom"/>
            <w:shd w:val="clear" w:color="auto" w:fill="CFF0FC"/>
          </w:tcPr>
          <w:p>
            <w:pPr>
              <w:ind w:left="20"/>
              <w:spacing w:after="0" w:line="209" w:lineRule="exact"/>
              <w:rPr>
                <w:sz w:val="20"/>
                <w:szCs w:val="20"/>
                <w:color w:val="auto"/>
              </w:rPr>
            </w:pPr>
            <w:r>
              <w:rPr>
                <w:rFonts w:ascii="Arial" w:cs="Arial" w:eastAsia="Arial" w:hAnsi="Arial"/>
                <w:sz w:val="18"/>
                <w:szCs w:val="18"/>
                <w:color w:val="auto"/>
              </w:rPr>
              <w:t xml:space="preserve">2.125% senior notes due 2022 </w:t>
            </w:r>
            <w:r>
              <w:rPr>
                <w:rFonts w:ascii="Arial" w:cs="Arial" w:eastAsia="Arial" w:hAnsi="Arial"/>
                <w:sz w:val="24"/>
                <w:szCs w:val="24"/>
                <w:color w:val="auto"/>
                <w:vertAlign w:val="superscript"/>
              </w:rPr>
              <w:t>(i)</w:t>
            </w: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613</w:t>
            </w: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4.625% senior notes due 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49"/>
        </w:trPr>
        <w:tc>
          <w:tcPr>
            <w:tcW w:w="75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250</w:t>
            </w: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613</w:t>
            </w:r>
          </w:p>
        </w:tc>
      </w:tr>
      <w:tr>
        <w:trPr>
          <w:trHeight w:val="412"/>
        </w:trPr>
        <w:tc>
          <w:tcPr>
            <w:tcW w:w="754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8"/>
        </w:trPr>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$1.5 billion credit facility</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4.625% senior notes due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249</w:t>
            </w:r>
          </w:p>
        </w:tc>
      </w:tr>
      <w:tr>
        <w:trPr>
          <w:trHeight w:val="21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3.600% senior notes due 2024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648</w:t>
            </w: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4.400% senior notes due 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546</w:t>
            </w:r>
          </w:p>
        </w:tc>
      </w:tr>
      <w:tr>
        <w:trPr>
          <w:trHeight w:val="21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4.650% senior notes due 2027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4.500% senior notes due 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597</w:t>
            </w:r>
          </w:p>
        </w:tc>
      </w:tr>
      <w:tr>
        <w:trPr>
          <w:trHeight w:val="21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2.950% senior notes due 2029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726</w:t>
            </w: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6.125% senior notes due 2043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271</w:t>
            </w:r>
          </w:p>
        </w:tc>
      </w:tr>
      <w:tr>
        <w:trPr>
          <w:trHeight w:val="21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5.050% senior notes due 2048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395</w:t>
            </w: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3.875% senior notes due 2049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542</w:t>
            </w:r>
          </w:p>
        </w:tc>
      </w:tr>
      <w:tr>
        <w:trPr>
          <w:trHeight w:val="249"/>
        </w:trPr>
        <w:tc>
          <w:tcPr>
            <w:tcW w:w="7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-2174240</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-2157095</wp:posOffset>
            </wp:positionV>
            <wp:extent cx="12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3"/>
          <w:szCs w:val="13"/>
          <w:color w:val="auto"/>
        </w:rPr>
        <w:t>Notes issued in Euro (€540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May 19, 2022, the Company, together with its wholly-owned subsidiary, Willis North America Inc. as issuer, completed an offering of $750 million aggregate principal amount of 4.650% senior notes due 2027 (‘2027 senior notes’). The effective interest rate of the 2027 senior notes is 4.79%, which includes the impact of the discount upon issuance. The 2027 senior notes will mature on June 15, 2027. Interest on the 2027 senior notes accrues from May 19, 2022 and will be paid in cash on June 15 and December 15 of each year, commencing on December 15, 2022. The net proceeds from this offering, after deducting the underwriting discount and estimated offering expenses, were approximately $744 million and were used to fully repay the €540 million ($582 million on the date of repayment) aggregate principal amount of the 2.125% Senior Notes due 2022 and related accrued interest, and for general corporate purposes.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2022 and December 31, 2021, we were in compliance with all financial covenants.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10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62"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refers to fair values determined based on quoted market prices in active markets for identical assets;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2: refers to fair values estimated using observable market-based inputs or unobservable inputs that are corroborated by market data; and</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includes fair values estimated using unobservable inputs that are not corroborated by market data.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Available-for-sale securities are classified as Level 1 because we use quoted market prices in determining the fair value of these securities.</w:t>
      </w:r>
    </w:p>
    <w:p>
      <w:pPr>
        <w:spacing w:after="0" w:line="126" w:lineRule="exact"/>
        <w:rPr>
          <w:rFonts w:ascii="Arial" w:cs="Arial" w:eastAsia="Arial" w:hAnsi="Arial"/>
          <w:sz w:val="16"/>
          <w:szCs w:val="16"/>
          <w:color w:val="auto"/>
        </w:rPr>
      </w:pPr>
    </w:p>
    <w:p>
      <w:pPr>
        <w:ind w:left="760" w:right="40" w:hanging="378"/>
        <w:spacing w:after="0" w:line="277"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 values for our derivative instruments have been used to determine the fair value of forward foreign exchange contracts based on estimated amounts the Company would receive or have to pay to terminate the agreements, taking into account observable information about the current foreign currency forward rates. Such financial instruments are classified as Level 2 in the fair value hierarchy.</w:t>
      </w:r>
    </w:p>
    <w:p>
      <w:pPr>
        <w:spacing w:after="0" w:line="51" w:lineRule="exact"/>
        <w:rPr>
          <w:rFonts w:ascii="Arial" w:cs="Arial" w:eastAsia="Arial" w:hAnsi="Arial"/>
          <w:sz w:val="17"/>
          <w:szCs w:val="17"/>
          <w:color w:val="auto"/>
        </w:rPr>
      </w:pPr>
    </w:p>
    <w:p>
      <w:pPr>
        <w:ind w:left="760" w:right="20" w:hanging="378"/>
        <w:spacing w:after="0" w:line="248"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our assets and liabilities measured at fair value on a recurring basis at September 30, 2022 and December 31, 2021:</w:t>
      </w:r>
    </w:p>
    <w:p>
      <w:pPr>
        <w:spacing w:after="0" w:line="223" w:lineRule="exact"/>
        <w:rPr>
          <w:sz w:val="20"/>
          <w:szCs w:val="20"/>
          <w:color w:val="auto"/>
        </w:rPr>
      </w:pPr>
    </w:p>
    <w:p>
      <w:pPr>
        <w:jc w:val="center"/>
        <w:ind w:left="6980"/>
        <w:spacing w:after="0"/>
        <w:rPr>
          <w:sz w:val="20"/>
          <w:szCs w:val="20"/>
          <w:color w:val="auto"/>
        </w:rPr>
      </w:pPr>
      <w:r>
        <w:rPr>
          <w:rFonts w:ascii="Arial" w:cs="Arial" w:eastAsia="Arial" w:hAnsi="Arial"/>
          <w:sz w:val="13"/>
          <w:szCs w:val="13"/>
          <w:b w:val="1"/>
          <w:bCs w:val="1"/>
          <w:color w:val="auto"/>
        </w:rPr>
        <w:t>Fair Value Measurements on a Recurring Basis at</w:t>
      </w:r>
    </w:p>
    <w:p>
      <w:pPr>
        <w:jc w:val="center"/>
        <w:ind w:left="6980"/>
        <w:spacing w:after="0"/>
        <w:rPr>
          <w:sz w:val="20"/>
          <w:szCs w:val="20"/>
          <w:color w:val="auto"/>
        </w:rPr>
      </w:pPr>
      <w:r>
        <w:rPr>
          <w:rFonts w:ascii="Arial" w:cs="Arial" w:eastAsia="Arial" w:hAnsi="Arial"/>
          <w:sz w:val="13"/>
          <w:szCs w:val="13"/>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15875</wp:posOffset>
            </wp:positionV>
            <wp:extent cx="26289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28900" cy="8255"/>
                    </a:xfrm>
                    <a:prstGeom prst="rect">
                      <a:avLst/>
                    </a:prstGeom>
                    <a:noFill/>
                  </pic:spPr>
                </pic:pic>
              </a:graphicData>
            </a:graphic>
          </wp:anchor>
        </w:drawing>
      </w:r>
    </w:p>
    <w:p>
      <w:pPr>
        <w:spacing w:after="0" w:line="5" w:lineRule="exact"/>
        <w:rPr>
          <w:sz w:val="20"/>
          <w:szCs w:val="20"/>
          <w:color w:val="auto"/>
        </w:rPr>
      </w:pPr>
    </w:p>
    <w:p>
      <w:pPr>
        <w:ind w:left="4580"/>
        <w:spacing w:after="0"/>
        <w:tabs>
          <w:tab w:leader="none" w:pos="7300" w:val="left"/>
          <w:tab w:leader="none" w:pos="8340" w:val="left"/>
          <w:tab w:leader="none" w:pos="9400" w:val="left"/>
          <w:tab w:leader="none" w:pos="10540" w:val="left"/>
        </w:tabs>
        <w:rPr>
          <w:sz w:val="20"/>
          <w:szCs w:val="20"/>
          <w:color w:val="auto"/>
        </w:rPr>
      </w:pPr>
      <w:r>
        <w:rPr>
          <w:rFonts w:ascii="Arial" w:cs="Arial" w:eastAsia="Arial" w:hAnsi="Arial"/>
          <w:sz w:val="13"/>
          <w:szCs w:val="13"/>
          <w:b w:val="1"/>
          <w:bCs w:val="1"/>
          <w:color w:val="auto"/>
        </w:rPr>
        <w:t>Balance Sheet Location</w:t>
      </w:r>
      <w:r>
        <w:rPr>
          <w:sz w:val="20"/>
          <w:szCs w:val="20"/>
          <w:color w:val="auto"/>
        </w:rPr>
        <w:tab/>
      </w: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3"/>
          <w:szCs w:val="13"/>
          <w:b w:val="1"/>
          <w:bCs w:val="1"/>
          <w:color w:val="auto"/>
        </w:rPr>
        <w:t>Level 3</w:t>
      </w:r>
      <w:r>
        <w:rPr>
          <w:sz w:val="20"/>
          <w:szCs w:val="20"/>
          <w:color w:val="auto"/>
        </w:rPr>
        <w:tab/>
      </w:r>
      <w:r>
        <w:rPr>
          <w:rFonts w:ascii="Arial" w:cs="Arial" w:eastAsia="Arial" w:hAnsi="Arial"/>
          <w:sz w:val="11"/>
          <w:szCs w:val="11"/>
          <w:b w:val="1"/>
          <w:bCs w:val="1"/>
          <w:color w:val="auto"/>
        </w:rPr>
        <w:t>Total</w:t>
      </w:r>
    </w:p>
    <w:p>
      <w:pPr>
        <w:sectPr>
          <w:pgSz w:w="11900" w:h="16838" w:orient="portrait"/>
          <w:cols w:equalWidth="0" w:num="1">
            <w:col w:w="11200"/>
          </w:cols>
          <w:pgMar w:left="320" w:top="435" w:right="37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Available-for-sale securities:</w:t>
      </w:r>
    </w:p>
    <w:tbl>
      <w:tblPr>
        <w:tblLayout w:type="fixed"/>
        <w:tblInd w:w="20" w:type="dxa"/>
        <w:tblCellMar>
          <w:top w:w="0" w:type="dxa"/>
          <w:left w:w="0" w:type="dxa"/>
          <w:bottom w:w="0" w:type="dxa"/>
          <w:right w:w="0" w:type="dxa"/>
        </w:tblCellMar>
      </w:tblPr>
      <w:tr>
        <w:trPr>
          <w:trHeight w:val="173"/>
        </w:trPr>
        <w:tc>
          <w:tcPr>
            <w:tcW w:w="3080" w:type="dxa"/>
            <w:vAlign w:val="bottom"/>
          </w:tcPr>
          <w:p>
            <w:pPr>
              <w:ind w:left="180"/>
              <w:spacing w:after="0" w:line="173" w:lineRule="exact"/>
              <w:rPr>
                <w:sz w:val="20"/>
                <w:szCs w:val="20"/>
                <w:color w:val="auto"/>
              </w:rPr>
            </w:pPr>
            <w:r>
              <w:rPr>
                <w:rFonts w:ascii="Arial" w:cs="Arial" w:eastAsia="Arial" w:hAnsi="Arial"/>
                <w:sz w:val="16"/>
                <w:szCs w:val="16"/>
                <w:color w:val="auto"/>
              </w:rPr>
              <w:t>Mutual funds / exchange traded funds</w:t>
            </w:r>
          </w:p>
        </w:tc>
        <w:tc>
          <w:tcPr>
            <w:tcW w:w="3660" w:type="dxa"/>
            <w:vAlign w:val="bottom"/>
          </w:tcPr>
          <w:p>
            <w:pPr>
              <w:ind w:left="460"/>
              <w:spacing w:after="0"/>
              <w:rPr>
                <w:sz w:val="20"/>
                <w:szCs w:val="20"/>
                <w:color w:val="auto"/>
              </w:rPr>
            </w:pPr>
            <w:r>
              <w:rPr>
                <w:rFonts w:ascii="Arial" w:cs="Arial" w:eastAsia="Arial" w:hAnsi="Arial"/>
                <w:sz w:val="14"/>
                <w:szCs w:val="14"/>
                <w:color w:val="auto"/>
                <w:w w:val="93"/>
              </w:rPr>
              <w:t>Prepaid and other current assets and other non-current</w:t>
            </w:r>
          </w:p>
        </w:tc>
        <w:tc>
          <w:tcPr>
            <w:tcW w:w="0" w:type="dxa"/>
            <w:vAlign w:val="bottom"/>
          </w:tcPr>
          <w:p>
            <w:pPr>
              <w:spacing w:after="0"/>
              <w:rPr>
                <w:sz w:val="1"/>
                <w:szCs w:val="1"/>
                <w:color w:val="auto"/>
              </w:rPr>
            </w:pPr>
          </w:p>
        </w:tc>
      </w:tr>
      <w:tr>
        <w:trPr>
          <w:trHeight w:val="170"/>
        </w:trPr>
        <w:tc>
          <w:tcPr>
            <w:tcW w:w="3080" w:type="dxa"/>
            <w:vAlign w:val="bottom"/>
          </w:tcPr>
          <w:p>
            <w:pPr>
              <w:spacing w:after="0"/>
              <w:rPr>
                <w:sz w:val="14"/>
                <w:szCs w:val="14"/>
                <w:color w:val="auto"/>
              </w:rPr>
            </w:pPr>
          </w:p>
        </w:tc>
        <w:tc>
          <w:tcPr>
            <w:tcW w:w="3660" w:type="dxa"/>
            <w:vAlign w:val="bottom"/>
          </w:tcPr>
          <w:p>
            <w:pPr>
              <w:ind w:left="460"/>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3660" w:type="dxa"/>
            <w:vAlign w:val="bottom"/>
          </w:tcPr>
          <w:p>
            <w:pPr>
              <w:ind w:left="460"/>
              <w:spacing w:after="0"/>
              <w:rPr>
                <w:sz w:val="20"/>
                <w:szCs w:val="20"/>
                <w:color w:val="auto"/>
              </w:rPr>
            </w:pPr>
            <w:r>
              <w:rPr>
                <w:rFonts w:ascii="Arial" w:cs="Arial" w:eastAsia="Arial" w:hAnsi="Arial"/>
                <w:sz w:val="14"/>
                <w:szCs w:val="14"/>
                <w:color w:val="auto"/>
              </w:rPr>
              <w:t>Fiduciary assets</w:t>
            </w:r>
          </w:p>
        </w:tc>
        <w:tc>
          <w:tcPr>
            <w:tcW w:w="0" w:type="dxa"/>
            <w:vAlign w:val="bottom"/>
          </w:tcPr>
          <w:p>
            <w:pPr>
              <w:spacing w:after="0"/>
              <w:rPr>
                <w:sz w:val="1"/>
                <w:szCs w:val="1"/>
                <w:color w:val="auto"/>
              </w:rPr>
            </w:pPr>
          </w:p>
        </w:tc>
      </w:tr>
      <w:tr>
        <w:trPr>
          <w:trHeight w:val="217"/>
        </w:trPr>
        <w:tc>
          <w:tcPr>
            <w:tcW w:w="3080" w:type="dxa"/>
            <w:vAlign w:val="bottom"/>
          </w:tcPr>
          <w:p>
            <w:pPr>
              <w:spacing w:after="0"/>
              <w:rPr>
                <w:sz w:val="20"/>
                <w:szCs w:val="20"/>
                <w:color w:val="auto"/>
              </w:rPr>
            </w:pPr>
            <w:r>
              <w:rPr>
                <w:rFonts w:ascii="Arial" w:cs="Arial" w:eastAsia="Arial" w:hAnsi="Arial"/>
                <w:sz w:val="16"/>
                <w:szCs w:val="16"/>
                <w:i w:val="1"/>
                <w:iCs w:val="1"/>
                <w:color w:val="auto"/>
              </w:rPr>
              <w:t>Derivatives:</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180"/>
              <w:spacing w:after="0" w:line="186" w:lineRule="exact"/>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w:t>
            </w:r>
          </w:p>
        </w:tc>
        <w:tc>
          <w:tcPr>
            <w:tcW w:w="3660" w:type="dxa"/>
            <w:vAlign w:val="bottom"/>
          </w:tcPr>
          <w:p>
            <w:pPr>
              <w:ind w:left="460"/>
              <w:spacing w:after="0"/>
              <w:rPr>
                <w:sz w:val="20"/>
                <w:szCs w:val="20"/>
                <w:color w:val="auto"/>
              </w:rPr>
            </w:pPr>
            <w:r>
              <w:rPr>
                <w:rFonts w:ascii="Arial" w:cs="Arial" w:eastAsia="Arial" w:hAnsi="Arial"/>
                <w:sz w:val="14"/>
                <w:szCs w:val="14"/>
                <w:color w:val="auto"/>
                <w:w w:val="93"/>
              </w:rPr>
              <w:t>Prepaid and other current assets and other non-current</w:t>
            </w:r>
          </w:p>
        </w:tc>
        <w:tc>
          <w:tcPr>
            <w:tcW w:w="0" w:type="dxa"/>
            <w:vAlign w:val="bottom"/>
          </w:tcPr>
          <w:p>
            <w:pPr>
              <w:spacing w:after="0"/>
              <w:rPr>
                <w:sz w:val="1"/>
                <w:szCs w:val="1"/>
                <w:color w:val="auto"/>
              </w:rPr>
            </w:pPr>
          </w:p>
        </w:tc>
      </w:tr>
      <w:tr>
        <w:trPr>
          <w:trHeight w:val="182"/>
        </w:trPr>
        <w:tc>
          <w:tcPr>
            <w:tcW w:w="30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660" w:type="dxa"/>
            <w:vAlign w:val="bottom"/>
          </w:tcPr>
          <w:p>
            <w:pPr>
              <w:ind w:left="460"/>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6"/>
                <w:szCs w:val="16"/>
                <w:i w:val="1"/>
                <w:iCs w:val="1"/>
                <w:color w:val="auto"/>
              </w:rPr>
              <w:t>Contingent consideration:</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1"/>
                <w:szCs w:val="21"/>
                <w:color w:val="auto"/>
                <w:vertAlign w:val="superscript"/>
              </w:rPr>
              <w:t>(ii)</w:t>
            </w:r>
          </w:p>
        </w:tc>
        <w:tc>
          <w:tcPr>
            <w:tcW w:w="3660" w:type="dxa"/>
            <w:vAlign w:val="bottom"/>
          </w:tcPr>
          <w:p>
            <w:pPr>
              <w:ind w:left="460"/>
              <w:spacing w:after="0"/>
              <w:rPr>
                <w:sz w:val="20"/>
                <w:szCs w:val="20"/>
                <w:color w:val="auto"/>
              </w:rPr>
            </w:pPr>
            <w:r>
              <w:rPr>
                <w:rFonts w:ascii="Arial" w:cs="Arial" w:eastAsia="Arial" w:hAnsi="Arial"/>
                <w:sz w:val="14"/>
                <w:szCs w:val="14"/>
                <w:color w:val="auto"/>
                <w:w w:val="95"/>
              </w:rPr>
              <w:t>Other current liabilities and other non-current liabilities</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Arial" w:cs="Arial" w:eastAsia="Arial" w:hAnsi="Arial"/>
                <w:sz w:val="16"/>
                <w:szCs w:val="16"/>
                <w:i w:val="1"/>
                <w:iCs w:val="1"/>
                <w:color w:val="auto"/>
              </w:rPr>
              <w:t>Derivatives:</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080" w:type="dxa"/>
            <w:vAlign w:val="bottom"/>
          </w:tcPr>
          <w:p>
            <w:pPr>
              <w:ind w:left="180"/>
              <w:spacing w:after="0"/>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w:t>
            </w:r>
          </w:p>
        </w:tc>
        <w:tc>
          <w:tcPr>
            <w:tcW w:w="3660" w:type="dxa"/>
            <w:vAlign w:val="bottom"/>
          </w:tcPr>
          <w:p>
            <w:pPr>
              <w:ind w:left="460"/>
              <w:spacing w:after="0"/>
              <w:rPr>
                <w:sz w:val="20"/>
                <w:szCs w:val="20"/>
                <w:color w:val="auto"/>
              </w:rPr>
            </w:pPr>
            <w:r>
              <w:rPr>
                <w:rFonts w:ascii="Arial" w:cs="Arial" w:eastAsia="Arial" w:hAnsi="Arial"/>
                <w:sz w:val="14"/>
                <w:szCs w:val="14"/>
                <w:color w:val="auto"/>
                <w:w w:val="95"/>
              </w:rPr>
              <w:t>Other current liabilities and other non-current liabilities</w:t>
            </w:r>
          </w:p>
        </w:tc>
        <w:tc>
          <w:tcPr>
            <w:tcW w:w="0" w:type="dxa"/>
            <w:vAlign w:val="bottom"/>
          </w:tcPr>
          <w:p>
            <w:pPr>
              <w:spacing w:after="0"/>
              <w:rPr>
                <w:sz w:val="1"/>
                <w:szCs w:val="1"/>
                <w:color w:val="auto"/>
              </w:rPr>
            </w:pPr>
          </w:p>
        </w:tc>
      </w:tr>
      <w:tr>
        <w:trPr>
          <w:trHeight w:val="659"/>
        </w:trPr>
        <w:tc>
          <w:tcPr>
            <w:tcW w:w="3080" w:type="dxa"/>
            <w:vAlign w:val="bottom"/>
          </w:tcPr>
          <w:p>
            <w:pPr>
              <w:spacing w:after="0"/>
              <w:rPr>
                <w:sz w:val="24"/>
                <w:szCs w:val="24"/>
                <w:color w:val="auto"/>
              </w:rPr>
            </w:pPr>
          </w:p>
        </w:tc>
        <w:tc>
          <w:tcPr>
            <w:tcW w:w="3660" w:type="dxa"/>
            <w:vAlign w:val="bottom"/>
          </w:tcPr>
          <w:p>
            <w:pPr>
              <w:ind w:left="1480"/>
              <w:spacing w:after="0"/>
              <w:rPr>
                <w:sz w:val="20"/>
                <w:szCs w:val="20"/>
                <w:color w:val="auto"/>
              </w:rPr>
            </w:pPr>
            <w:r>
              <w:rPr>
                <w:rFonts w:ascii="Arial" w:cs="Arial" w:eastAsia="Arial" w:hAnsi="Arial"/>
                <w:sz w:val="13"/>
                <w:szCs w:val="13"/>
                <w:b w:val="1"/>
                <w:bCs w:val="1"/>
                <w:color w:val="auto"/>
              </w:rPr>
              <w:t>Balance Sheet Location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-1805940</wp:posOffset>
            </wp:positionV>
            <wp:extent cx="7132320"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-1463040</wp:posOffset>
            </wp:positionV>
            <wp:extent cx="71323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-846455</wp:posOffset>
            </wp:positionV>
            <wp:extent cx="71323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539"/>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47"/>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54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1"/>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-1635125</wp:posOffset>
            </wp:positionV>
            <wp:extent cx="26289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28900" cy="8255"/>
                    </a:xfrm>
                    <a:prstGeom prst="rect">
                      <a:avLst/>
                    </a:prstGeom>
                    <a:noFill/>
                  </pic:spPr>
                </pic:pic>
              </a:graphicData>
            </a:graphic>
          </wp:anchor>
        </w:drawing>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Fair Value Measurements on a Recurring Basis at</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6985</wp:posOffset>
            </wp:positionV>
            <wp:extent cx="26289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28900" cy="8255"/>
                    </a:xfrm>
                    <a:prstGeom prst="rect">
                      <a:avLst/>
                    </a:prstGeom>
                    <a:noFill/>
                  </pic:spPr>
                </pic:pic>
              </a:graphicData>
            </a:graphic>
          </wp:anchor>
        </w:drawing>
      </w:r>
    </w:p>
    <w:p>
      <w:pPr>
        <w:ind w:left="200"/>
        <w:spacing w:after="0"/>
        <w:tabs>
          <w:tab w:leader="none" w:pos="1220" w:val="left"/>
          <w:tab w:leader="none" w:pos="2280" w:val="left"/>
          <w:tab w:leader="none" w:pos="3420" w:val="left"/>
        </w:tabs>
        <w:rPr>
          <w:sz w:val="20"/>
          <w:szCs w:val="20"/>
          <w:color w:val="auto"/>
        </w:rPr>
      </w:pP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3"/>
          <w:szCs w:val="13"/>
          <w:b w:val="1"/>
          <w:bCs w:val="1"/>
          <w:color w:val="auto"/>
        </w:rPr>
        <w:t>Level 3</w:t>
      </w:r>
      <w:r>
        <w:rPr>
          <w:sz w:val="20"/>
          <w:szCs w:val="20"/>
          <w:color w:val="auto"/>
        </w:rPr>
        <w:tab/>
      </w:r>
      <w:r>
        <w:rPr>
          <w:rFonts w:ascii="Arial" w:cs="Arial" w:eastAsia="Arial" w:hAnsi="Arial"/>
          <w:sz w:val="11"/>
          <w:szCs w:val="11"/>
          <w:b w:val="1"/>
          <w:bCs w:val="1"/>
          <w:color w:val="auto"/>
        </w:rPr>
        <w:t>Total</w:t>
      </w:r>
    </w:p>
    <w:p>
      <w:pPr>
        <w:spacing w:after="0" w:line="38" w:lineRule="exact"/>
        <w:rPr>
          <w:sz w:val="20"/>
          <w:szCs w:val="20"/>
          <w:color w:val="auto"/>
        </w:rPr>
      </w:pPr>
    </w:p>
    <w:p>
      <w:pPr>
        <w:sectPr>
          <w:pgSz w:w="11900" w:h="16838" w:orient="portrait"/>
          <w:cols w:equalWidth="0" w:num="2">
            <w:col w:w="6760" w:space="360"/>
            <w:col w:w="4080"/>
          </w:cols>
          <w:pgMar w:left="320" w:top="435" w:right="37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Available-for-sale securities:</w:t>
      </w:r>
    </w:p>
    <w:tbl>
      <w:tblPr>
        <w:tblLayout w:type="fixed"/>
        <w:tblInd w:w="20" w:type="dxa"/>
        <w:tblCellMar>
          <w:top w:w="0" w:type="dxa"/>
          <w:left w:w="0" w:type="dxa"/>
          <w:bottom w:w="0" w:type="dxa"/>
          <w:right w:w="0" w:type="dxa"/>
        </w:tblCellMar>
      </w:tblPr>
      <w:tr>
        <w:trPr>
          <w:trHeight w:val="173"/>
        </w:trPr>
        <w:tc>
          <w:tcPr>
            <w:tcW w:w="3080" w:type="dxa"/>
            <w:vAlign w:val="bottom"/>
          </w:tcPr>
          <w:p>
            <w:pPr>
              <w:ind w:left="180"/>
              <w:spacing w:after="0" w:line="173" w:lineRule="exact"/>
              <w:rPr>
                <w:sz w:val="20"/>
                <w:szCs w:val="20"/>
                <w:color w:val="auto"/>
              </w:rPr>
            </w:pPr>
            <w:r>
              <w:rPr>
                <w:rFonts w:ascii="Arial" w:cs="Arial" w:eastAsia="Arial" w:hAnsi="Arial"/>
                <w:sz w:val="16"/>
                <w:szCs w:val="16"/>
                <w:color w:val="auto"/>
              </w:rPr>
              <w:t>Mutual funds / exchange traded funds</w:t>
            </w:r>
          </w:p>
        </w:tc>
        <w:tc>
          <w:tcPr>
            <w:tcW w:w="3660" w:type="dxa"/>
            <w:vAlign w:val="bottom"/>
          </w:tcPr>
          <w:p>
            <w:pPr>
              <w:ind w:left="460"/>
              <w:spacing w:after="0"/>
              <w:rPr>
                <w:sz w:val="20"/>
                <w:szCs w:val="20"/>
                <w:color w:val="auto"/>
              </w:rPr>
            </w:pPr>
            <w:r>
              <w:rPr>
                <w:rFonts w:ascii="Arial" w:cs="Arial" w:eastAsia="Arial" w:hAnsi="Arial"/>
                <w:sz w:val="14"/>
                <w:szCs w:val="14"/>
                <w:color w:val="auto"/>
                <w:w w:val="93"/>
              </w:rPr>
              <w:t>Prepaid and other current assets and other non-current</w:t>
            </w:r>
          </w:p>
        </w:tc>
        <w:tc>
          <w:tcPr>
            <w:tcW w:w="0" w:type="dxa"/>
            <w:vAlign w:val="bottom"/>
          </w:tcPr>
          <w:p>
            <w:pPr>
              <w:spacing w:after="0"/>
              <w:rPr>
                <w:sz w:val="1"/>
                <w:szCs w:val="1"/>
                <w:color w:val="auto"/>
              </w:rPr>
            </w:pPr>
          </w:p>
        </w:tc>
      </w:tr>
      <w:tr>
        <w:trPr>
          <w:trHeight w:val="170"/>
        </w:trPr>
        <w:tc>
          <w:tcPr>
            <w:tcW w:w="3080" w:type="dxa"/>
            <w:vAlign w:val="bottom"/>
          </w:tcPr>
          <w:p>
            <w:pPr>
              <w:spacing w:after="0"/>
              <w:rPr>
                <w:sz w:val="14"/>
                <w:szCs w:val="14"/>
                <w:color w:val="auto"/>
              </w:rPr>
            </w:pPr>
          </w:p>
        </w:tc>
        <w:tc>
          <w:tcPr>
            <w:tcW w:w="3660" w:type="dxa"/>
            <w:vAlign w:val="bottom"/>
          </w:tcPr>
          <w:p>
            <w:pPr>
              <w:ind w:left="460"/>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3660" w:type="dxa"/>
            <w:vAlign w:val="bottom"/>
          </w:tcPr>
          <w:p>
            <w:pPr>
              <w:ind w:left="460"/>
              <w:spacing w:after="0"/>
              <w:rPr>
                <w:sz w:val="20"/>
                <w:szCs w:val="20"/>
                <w:color w:val="auto"/>
              </w:rPr>
            </w:pPr>
            <w:r>
              <w:rPr>
                <w:rFonts w:ascii="Arial" w:cs="Arial" w:eastAsia="Arial" w:hAnsi="Arial"/>
                <w:sz w:val="14"/>
                <w:szCs w:val="14"/>
                <w:color w:val="auto"/>
              </w:rPr>
              <w:t>Fiduciary assets</w:t>
            </w:r>
          </w:p>
        </w:tc>
        <w:tc>
          <w:tcPr>
            <w:tcW w:w="0" w:type="dxa"/>
            <w:vAlign w:val="bottom"/>
          </w:tcPr>
          <w:p>
            <w:pPr>
              <w:spacing w:after="0"/>
              <w:rPr>
                <w:sz w:val="1"/>
                <w:szCs w:val="1"/>
                <w:color w:val="auto"/>
              </w:rPr>
            </w:pPr>
          </w:p>
        </w:tc>
      </w:tr>
      <w:tr>
        <w:trPr>
          <w:trHeight w:val="187"/>
        </w:trPr>
        <w:tc>
          <w:tcPr>
            <w:tcW w:w="3080" w:type="dxa"/>
            <w:vAlign w:val="bottom"/>
          </w:tcPr>
          <w:p>
            <w:pPr>
              <w:ind w:left="180"/>
              <w:spacing w:after="0"/>
              <w:rPr>
                <w:sz w:val="20"/>
                <w:szCs w:val="20"/>
                <w:color w:val="auto"/>
              </w:rPr>
            </w:pPr>
            <w:r>
              <w:rPr>
                <w:rFonts w:ascii="Arial" w:cs="Arial" w:eastAsia="Arial" w:hAnsi="Arial"/>
                <w:sz w:val="16"/>
                <w:szCs w:val="16"/>
                <w:color w:val="auto"/>
              </w:rPr>
              <w:t>Certificates of deposit/term deposits</w:t>
            </w:r>
          </w:p>
        </w:tc>
        <w:tc>
          <w:tcPr>
            <w:tcW w:w="3660" w:type="dxa"/>
            <w:vAlign w:val="bottom"/>
          </w:tcPr>
          <w:p>
            <w:pPr>
              <w:ind w:left="460"/>
              <w:spacing w:after="0"/>
              <w:rPr>
                <w:sz w:val="20"/>
                <w:szCs w:val="20"/>
                <w:color w:val="auto"/>
              </w:rPr>
            </w:pPr>
            <w:r>
              <w:rPr>
                <w:rFonts w:ascii="Arial" w:cs="Arial" w:eastAsia="Arial" w:hAnsi="Arial"/>
                <w:sz w:val="14"/>
                <w:szCs w:val="14"/>
                <w:color w:val="auto"/>
                <w:w w:val="93"/>
              </w:rPr>
              <w:t>Prepaid and other current assets and other non-current</w:t>
            </w:r>
          </w:p>
        </w:tc>
        <w:tc>
          <w:tcPr>
            <w:tcW w:w="0" w:type="dxa"/>
            <w:vAlign w:val="bottom"/>
          </w:tcPr>
          <w:p>
            <w:pPr>
              <w:spacing w:after="0"/>
              <w:rPr>
                <w:sz w:val="1"/>
                <w:szCs w:val="1"/>
                <w:color w:val="auto"/>
              </w:rPr>
            </w:pPr>
          </w:p>
        </w:tc>
      </w:tr>
      <w:tr>
        <w:trPr>
          <w:trHeight w:val="182"/>
        </w:trPr>
        <w:tc>
          <w:tcPr>
            <w:tcW w:w="3080" w:type="dxa"/>
            <w:vAlign w:val="bottom"/>
            <w:vMerge w:val="restart"/>
          </w:tcPr>
          <w:p>
            <w:pPr>
              <w:spacing w:after="0"/>
              <w:rPr>
                <w:sz w:val="20"/>
                <w:szCs w:val="20"/>
                <w:color w:val="auto"/>
              </w:rPr>
            </w:pPr>
            <w:r>
              <w:rPr>
                <w:rFonts w:ascii="Arial" w:cs="Arial" w:eastAsia="Arial" w:hAnsi="Arial"/>
                <w:sz w:val="16"/>
                <w:szCs w:val="16"/>
                <w:i w:val="1"/>
                <w:iCs w:val="1"/>
                <w:color w:val="auto"/>
              </w:rPr>
              <w:t>Derivatives:</w:t>
            </w:r>
          </w:p>
        </w:tc>
        <w:tc>
          <w:tcPr>
            <w:tcW w:w="3660" w:type="dxa"/>
            <w:vAlign w:val="bottom"/>
          </w:tcPr>
          <w:p>
            <w:pPr>
              <w:ind w:left="460"/>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72"/>
        </w:trPr>
        <w:tc>
          <w:tcPr>
            <w:tcW w:w="308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80" w:type="dxa"/>
            <w:vAlign w:val="bottom"/>
          </w:tcPr>
          <w:p>
            <w:pPr>
              <w:ind w:left="180"/>
              <w:spacing w:after="0" w:line="186" w:lineRule="exact"/>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w:t>
            </w:r>
          </w:p>
        </w:tc>
        <w:tc>
          <w:tcPr>
            <w:tcW w:w="3660" w:type="dxa"/>
            <w:vAlign w:val="bottom"/>
          </w:tcPr>
          <w:p>
            <w:pPr>
              <w:ind w:left="460"/>
              <w:spacing w:after="0"/>
              <w:rPr>
                <w:sz w:val="20"/>
                <w:szCs w:val="20"/>
                <w:color w:val="auto"/>
              </w:rPr>
            </w:pPr>
            <w:r>
              <w:rPr>
                <w:rFonts w:ascii="Arial" w:cs="Arial" w:eastAsia="Arial" w:hAnsi="Arial"/>
                <w:sz w:val="14"/>
                <w:szCs w:val="14"/>
                <w:color w:val="auto"/>
                <w:w w:val="93"/>
              </w:rPr>
              <w:t>Prepaid and other current assets and other non-current</w:t>
            </w:r>
          </w:p>
        </w:tc>
        <w:tc>
          <w:tcPr>
            <w:tcW w:w="0" w:type="dxa"/>
            <w:vAlign w:val="bottom"/>
          </w:tcPr>
          <w:p>
            <w:pPr>
              <w:spacing w:after="0"/>
              <w:rPr>
                <w:sz w:val="1"/>
                <w:szCs w:val="1"/>
                <w:color w:val="auto"/>
              </w:rPr>
            </w:pPr>
          </w:p>
        </w:tc>
      </w:tr>
      <w:tr>
        <w:trPr>
          <w:trHeight w:val="182"/>
        </w:trPr>
        <w:tc>
          <w:tcPr>
            <w:tcW w:w="30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660" w:type="dxa"/>
            <w:vAlign w:val="bottom"/>
          </w:tcPr>
          <w:p>
            <w:pPr>
              <w:ind w:left="460"/>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6"/>
                <w:szCs w:val="16"/>
                <w:i w:val="1"/>
                <w:iCs w:val="1"/>
                <w:color w:val="auto"/>
              </w:rPr>
              <w:t>Contingent consideration:</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1"/>
                <w:szCs w:val="21"/>
                <w:color w:val="auto"/>
                <w:vertAlign w:val="superscript"/>
              </w:rPr>
              <w:t>(ii)</w:t>
            </w:r>
          </w:p>
        </w:tc>
        <w:tc>
          <w:tcPr>
            <w:tcW w:w="3660" w:type="dxa"/>
            <w:vAlign w:val="bottom"/>
          </w:tcPr>
          <w:p>
            <w:pPr>
              <w:ind w:left="460"/>
              <w:spacing w:after="0"/>
              <w:rPr>
                <w:sz w:val="20"/>
                <w:szCs w:val="20"/>
                <w:color w:val="auto"/>
              </w:rPr>
            </w:pPr>
            <w:r>
              <w:rPr>
                <w:rFonts w:ascii="Arial" w:cs="Arial" w:eastAsia="Arial" w:hAnsi="Arial"/>
                <w:sz w:val="14"/>
                <w:szCs w:val="14"/>
                <w:color w:val="auto"/>
                <w:w w:val="95"/>
              </w:rPr>
              <w:t>Other current liabilities and other non-current liabilities</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Arial" w:cs="Arial" w:eastAsia="Arial" w:hAnsi="Arial"/>
                <w:sz w:val="16"/>
                <w:szCs w:val="16"/>
                <w:i w:val="1"/>
                <w:iCs w:val="1"/>
                <w:color w:val="auto"/>
              </w:rPr>
              <w:t>Derivatives:</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080" w:type="dxa"/>
            <w:vAlign w:val="bottom"/>
          </w:tcPr>
          <w:p>
            <w:pPr>
              <w:ind w:left="180"/>
              <w:spacing w:after="0"/>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w:t>
            </w:r>
          </w:p>
        </w:tc>
        <w:tc>
          <w:tcPr>
            <w:tcW w:w="3660" w:type="dxa"/>
            <w:vAlign w:val="bottom"/>
          </w:tcPr>
          <w:p>
            <w:pPr>
              <w:ind w:left="460"/>
              <w:spacing w:after="0"/>
              <w:rPr>
                <w:sz w:val="20"/>
                <w:szCs w:val="20"/>
                <w:color w:val="auto"/>
              </w:rPr>
            </w:pPr>
            <w:r>
              <w:rPr>
                <w:rFonts w:ascii="Arial" w:cs="Arial" w:eastAsia="Arial" w:hAnsi="Arial"/>
                <w:sz w:val="14"/>
                <w:szCs w:val="14"/>
                <w:color w:val="auto"/>
                <w:w w:val="95"/>
              </w:rPr>
              <w:t>Other current liabilities and other non-current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-1593215</wp:posOffset>
            </wp:positionV>
            <wp:extent cx="7132320" cy="205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-1250315</wp:posOffset>
            </wp:positionV>
            <wp:extent cx="7132320" cy="205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9505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20"/>
                <w:szCs w:val="20"/>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24"/>
        </w:trPr>
        <w:tc>
          <w:tcPr>
            <w:tcW w:w="30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539"/>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18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47"/>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51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1"/>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-1840230</wp:posOffset>
            </wp:positionV>
            <wp:extent cx="26289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28900" cy="8255"/>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6760" w:space="360"/>
            <w:col w:w="4080"/>
          </w:cols>
          <w:pgMar w:left="320" w:top="435" w:right="379" w:bottom="1440" w:gutter="0" w:footer="0" w:header="0"/>
          <w:type w:val="continuous"/>
        </w:sectPr>
      </w:pPr>
    </w:p>
    <w:p>
      <w:pPr>
        <w:spacing w:after="0" w:line="22"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 9 — Derivative Financial Instruments for further information on our derivative investments.</w:t>
      </w:r>
    </w:p>
    <w:p>
      <w:pPr>
        <w:spacing w:after="0" w:line="41" w:lineRule="exact"/>
        <w:rPr>
          <w:rFonts w:ascii="Arial" w:cs="Arial" w:eastAsia="Arial" w:hAnsi="Arial"/>
          <w:sz w:val="14"/>
          <w:szCs w:val="14"/>
          <w:color w:val="auto"/>
        </w:rPr>
      </w:pPr>
    </w:p>
    <w:p>
      <w:pPr>
        <w:ind w:left="280" w:hanging="272"/>
        <w:spacing w:after="0" w:line="296" w:lineRule="auto"/>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11.99% and 11.92% at September 30, 2022 and December 31, 2021, respectively. The range of these discount rates was 3.53% - 13.80% at September 30, 2022. Using different probability weightings and discount rates could result in an increase or decrease of the contingent consideration payable.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5" w:right="3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color w:val="auto"/>
        </w:rPr>
        <w:t>The following table summarizes the change in fair value of the Level 3 liabilities: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2021</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Obligations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line="229" w:lineRule="auto"/>
        <w:rPr>
          <w:sz w:val="20"/>
          <w:szCs w:val="20"/>
          <w:color w:val="auto"/>
        </w:rPr>
      </w:pPr>
      <w:r>
        <w:rPr>
          <w:rFonts w:ascii="Arial" w:cs="Arial" w:eastAsia="Arial" w:hAnsi="Arial"/>
          <w:sz w:val="18"/>
          <w:szCs w:val="18"/>
          <w:color w:val="auto"/>
        </w:rPr>
        <w:t>Payments</w:t>
      </w:r>
    </w:p>
    <w:p>
      <w:pPr>
        <w:ind w:left="200"/>
        <w:spacing w:after="0" w:line="224" w:lineRule="auto"/>
        <w:rPr>
          <w:sz w:val="20"/>
          <w:szCs w:val="20"/>
          <w:color w:val="auto"/>
        </w:rPr>
      </w:pPr>
      <w:r>
        <w:rPr>
          <w:rFonts w:ascii="Arial" w:cs="Arial" w:eastAsia="Arial" w:hAnsi="Arial"/>
          <w:sz w:val="18"/>
          <w:szCs w:val="18"/>
          <w:color w:val="auto"/>
        </w:rPr>
        <w:t xml:space="preserve">Realized and unrealized losses </w:t>
      </w:r>
      <w:r>
        <w:rPr>
          <w:rFonts w:ascii="Arial" w:cs="Arial" w:eastAsia="Arial" w:hAnsi="Arial"/>
          <w:sz w:val="24"/>
          <w:szCs w:val="24"/>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Foreign exchange</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9505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3696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7"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(22 )</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(2 )</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13696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696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31115</wp:posOffset>
            </wp:positionV>
            <wp:extent cx="13696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8380" w:space="720"/>
            <w:col w:w="2140"/>
          </w:cols>
          <w:pgMar w:left="320" w:top="489" w:right="339" w:bottom="1440" w:gutter="0" w:footer="0" w:header="0"/>
        </w:sectPr>
      </w:pPr>
    </w:p>
    <w:p>
      <w:pPr>
        <w:spacing w:after="0" w:line="74" w:lineRule="exact"/>
        <w:rPr>
          <w:sz w:val="20"/>
          <w:szCs w:val="20"/>
          <w:color w:val="auto"/>
        </w:rPr>
      </w:pPr>
    </w:p>
    <w:p>
      <w:pPr>
        <w:ind w:left="280" w:right="740" w:hanging="272"/>
        <w:spacing w:after="0" w:line="272" w:lineRule="auto"/>
        <w:tabs>
          <w:tab w:leader="none" w:pos="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transfers to or from Level 3 in the nine months ended September 30, 2022.</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information about financial instruments not measured at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foll</w:t>
      </w:r>
      <w:r>
        <w:rPr>
          <w:rFonts w:ascii="Arial" w:cs="Arial" w:eastAsia="Arial" w:hAnsi="Arial"/>
          <w:sz w:val="17"/>
          <w:szCs w:val="17"/>
          <w:color w:val="auto"/>
        </w:rPr>
        <w:t>owing tables present our liabilities not measured at fair value on a recurring basis at September 30, 2022 and December 31,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578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Long-term note receivable</w:t>
            </w:r>
          </w:p>
        </w:tc>
        <w:tc>
          <w:tcPr>
            <w:tcW w:w="400" w:type="dxa"/>
            <w:vAlign w:val="bottom"/>
          </w:tcPr>
          <w:p>
            <w:pPr>
              <w:jc w:val="right"/>
              <w:ind w:right="21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62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58</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69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70</w:t>
            </w: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Current debt</w:t>
            </w:r>
          </w:p>
        </w:tc>
        <w:tc>
          <w:tcPr>
            <w:tcW w:w="400" w:type="dxa"/>
            <w:vAlign w:val="bottom"/>
          </w:tcPr>
          <w:p>
            <w:pPr>
              <w:jc w:val="right"/>
              <w:ind w:right="21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250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249</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613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616</w:t>
            </w:r>
          </w:p>
        </w:tc>
      </w:tr>
      <w:tr>
        <w:trPr>
          <w:trHeight w:val="216"/>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FF0FC"/>
          </w:tcPr>
          <w:p>
            <w:pPr>
              <w:jc w:val="right"/>
              <w:ind w:right="21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4,470</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4,017</w:t>
            </w:r>
          </w:p>
        </w:tc>
        <w:tc>
          <w:tcPr>
            <w:tcW w:w="5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3,974</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4,453</w:t>
            </w:r>
          </w:p>
        </w:tc>
      </w:tr>
    </w:tbl>
    <w:p>
      <w:pPr>
        <w:spacing w:after="0" w:line="20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Retirement Benefits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 and Post-retirement Welfare Plans</w:t>
      </w:r>
    </w:p>
    <w:p>
      <w:pPr>
        <w:spacing w:after="0" w:line="10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WTW sponsors both qualified and non-qualified defined benefit pension plans and other post-retirement welfare (‘PRW’)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99% of WTW’s pension and PRW obligations and are disclosed herein.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Benefit (Income)/Cost for Defined Benefit Pension and Post-retirement Welfare Plans</w:t>
      </w:r>
    </w:p>
    <w:p>
      <w:pPr>
        <w:spacing w:after="0" w:line="103"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The foll</w:t>
      </w:r>
      <w:r>
        <w:rPr>
          <w:rFonts w:ascii="Arial" w:cs="Arial" w:eastAsia="Arial" w:hAnsi="Arial"/>
          <w:sz w:val="17"/>
          <w:szCs w:val="17"/>
          <w:color w:val="auto"/>
        </w:rPr>
        <w:t>owing tables set forth the components of net periodic benefit (income)/cost for the Company’s defined benefit pension and PRW plans for the three</w:t>
      </w:r>
      <w:r>
        <w:rPr>
          <w:rFonts w:ascii="Arial" w:cs="Arial" w:eastAsia="Arial" w:hAnsi="Arial"/>
          <w:sz w:val="16"/>
          <w:szCs w:val="16"/>
          <w:color w:val="auto"/>
        </w:rPr>
        <w:t xml:space="preserve"> </w:t>
      </w:r>
      <w:r>
        <w:rPr>
          <w:rFonts w:ascii="Arial" w:cs="Arial" w:eastAsia="Arial" w:hAnsi="Arial"/>
          <w:sz w:val="17"/>
          <w:szCs w:val="17"/>
          <w:color w:val="auto"/>
        </w:rPr>
        <w:t>and nine months ended September 30, 2022 and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9"/>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U.K.</w:t>
            </w:r>
          </w:p>
        </w:tc>
        <w:tc>
          <w:tcPr>
            <w:tcW w:w="120" w:type="dxa"/>
            <w:vAlign w:val="bottom"/>
          </w:tcPr>
          <w:p>
            <w:pPr>
              <w:spacing w:after="0"/>
              <w:rPr>
                <w:sz w:val="14"/>
                <w:szCs w:val="14"/>
                <w:color w:val="auto"/>
              </w:rPr>
            </w:pPr>
          </w:p>
        </w:tc>
        <w:tc>
          <w:tcPr>
            <w:tcW w:w="700" w:type="dxa"/>
            <w:vAlign w:val="bottom"/>
          </w:tcPr>
          <w:p>
            <w:pPr>
              <w:jc w:val="right"/>
              <w:ind w:right="22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PRW</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22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21"/>
              <w:spacing w:after="0"/>
              <w:rPr>
                <w:sz w:val="20"/>
                <w:szCs w:val="20"/>
                <w:color w:val="auto"/>
              </w:rPr>
            </w:pPr>
            <w:r>
              <w:rPr>
                <w:rFonts w:ascii="Arial" w:cs="Arial" w:eastAsia="Arial" w:hAnsi="Arial"/>
                <w:sz w:val="14"/>
                <w:szCs w:val="14"/>
                <w:b w:val="1"/>
                <w:bCs w:val="1"/>
                <w:color w:val="auto"/>
              </w:rPr>
              <w:t>U.K.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40"/>
              <w:spacing w:after="0"/>
              <w:rPr>
                <w:sz w:val="20"/>
                <w:szCs w:val="20"/>
                <w:color w:val="auto"/>
              </w:rPr>
            </w:pPr>
            <w:r>
              <w:rPr>
                <w:rFonts w:ascii="Arial" w:cs="Arial" w:eastAsia="Arial" w:hAnsi="Arial"/>
                <w:sz w:val="14"/>
                <w:szCs w:val="14"/>
                <w:b w:val="1"/>
                <w:bCs w:val="1"/>
                <w:color w:val="auto"/>
              </w:rPr>
              <w:t>PRW</w:t>
            </w:r>
          </w:p>
        </w:tc>
      </w:tr>
      <w:tr>
        <w:trPr>
          <w:trHeight w:val="196"/>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ind w:right="34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7"/>
                <w:szCs w:val="17"/>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2"/>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140" w:type="dxa"/>
            <w:vAlign w:val="bottom"/>
          </w:tcPr>
          <w:p>
            <w:pPr>
              <w:spacing w:after="0"/>
              <w:rPr>
                <w:sz w:val="17"/>
                <w:szCs w:val="17"/>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2"/>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net loss</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r>
      <w:tr>
        <w:trPr>
          <w:trHeight w:val="236"/>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periodic benefit (income)/cost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42"/>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-24765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-7620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-24765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-7620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jc w:val="right"/>
              <w:ind w:right="39"/>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9"/>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U.K.</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PRW</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U.K.</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PRW</w:t>
            </w:r>
          </w:p>
        </w:tc>
      </w:tr>
      <w:tr>
        <w:trPr>
          <w:trHeight w:val="196"/>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42"/>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7"/>
                <w:szCs w:val="17"/>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w:t>
            </w:r>
          </w:p>
        </w:tc>
      </w:tr>
      <w:tr>
        <w:trPr>
          <w:trHeight w:val="202"/>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140" w:type="dxa"/>
            <w:vAlign w:val="bottom"/>
          </w:tcPr>
          <w:p>
            <w:pPr>
              <w:spacing w:after="0"/>
              <w:rPr>
                <w:sz w:val="17"/>
                <w:szCs w:val="17"/>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2"/>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net loss</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r>
      <w:tr>
        <w:trPr>
          <w:trHeight w:val="236"/>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periodic benefit (income)/cost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42"/>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-24765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-7620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-24765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-7620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 to Defined Benefit Pension Plans</w:t>
      </w:r>
    </w:p>
    <w:p>
      <w:pPr>
        <w:spacing w:after="0" w:line="103"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Company did not make any contributions to its U.S. plans during the nine months ended September 30, 2022 and currently does not anticipate making contributions over the remainder of the fiscal year. The Company made contributions of $23 million to its U.K. plans for the nine months ended September 30, 2022 and anticipates making additional contributions of $13 million for the remainder of the fiscal year. The Company made contributions of $22 million to its other plans for the nine months ended September 30, 2022 and anticipates making additional contributions of $2 million for the remainder of the fiscal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0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The Company made contributions to its defined contribution plans of $34 million and $114 million during the three and nine months ended September 30, 2022, respectively, and $36 million and $118 million during the three and nine months ended September 30, 2021,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lease costs recorded on our condensed consolidated statements of comprehensive income for the three and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09"/>
        </w:trPr>
        <w:tc>
          <w:tcPr>
            <w:tcW w:w="55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Amortization of right-of-use assets</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on lease liabilities</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134</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0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w:t>
            </w:r>
          </w:p>
        </w:tc>
      </w:tr>
      <w:tr>
        <w:trPr>
          <w:trHeight w:val="21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9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9"/>
        </w:trPr>
        <w:tc>
          <w:tcPr>
            <w:tcW w:w="5500" w:type="dxa"/>
            <w:vAlign w:val="bottom"/>
          </w:tcPr>
          <w:p>
            <w:pPr>
              <w:ind w:left="120"/>
              <w:spacing w:after="0"/>
              <w:rPr>
                <w:sz w:val="20"/>
                <w:szCs w:val="20"/>
                <w:color w:val="auto"/>
              </w:rPr>
            </w:pPr>
            <w:r>
              <w:rPr>
                <w:rFonts w:ascii="Arial" w:cs="Arial" w:eastAsia="Arial" w:hAnsi="Arial"/>
                <w:sz w:val="18"/>
                <w:szCs w:val="18"/>
                <w:color w:val="auto"/>
              </w:rPr>
              <w:t>Total lease cost, net</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11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51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161</w:t>
            </w:r>
          </w:p>
        </w:tc>
      </w:tr>
      <w:tr>
        <w:trPr>
          <w:trHeight w:val="20"/>
        </w:trPr>
        <w:tc>
          <w:tcPr>
            <w:tcW w:w="5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-170815</wp:posOffset>
            </wp:positionV>
            <wp:extent cx="85725"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-170815</wp:posOffset>
            </wp:positionV>
            <wp:extent cx="76835"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-170815</wp:posOffset>
            </wp:positionV>
            <wp:extent cx="76835"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12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The total lease cost is recognized in different locations in our condensed consolidated statements of comprehensive income. Amortization of the finance lease right-of-use assets is included in depreciation, while the interest cost component of these finance leases is included in interest expense. All other costs are included in other operating expenses, with the exception of $2 million and $33 million, respectively, incurred during the three and nine months ended September 30, 2022 that was included in restructuring costs (see Note 6 </w:t>
      </w:r>
      <w:r>
        <w:rPr>
          <w:rFonts w:ascii="Arial" w:cs="Arial" w:eastAsia="Arial" w:hAnsi="Arial"/>
          <w:sz w:val="16"/>
          <w:szCs w:val="16"/>
          <w:b w:val="1"/>
          <w:bCs w:val="1"/>
          <w:color w:val="auto"/>
        </w:rPr>
        <w:t>—</w:t>
      </w:r>
      <w:r>
        <w:rPr>
          <w:rFonts w:ascii="Arial" w:cs="Arial" w:eastAsia="Arial" w:hAnsi="Arial"/>
          <w:sz w:val="16"/>
          <w:szCs w:val="16"/>
          <w:color w:val="auto"/>
        </w:rPr>
        <w:t xml:space="preserve"> Restructuring Costs) that primarily related to the acceleration of amortization of certain abandoned right-of-use assets and the payment of early termination fees. There are no significant lease costs that have been included as discontinued operations in the condensed consolidated statements of comprehensive income during the three and nine months ended September 30, 2022 and 2021.</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the ordinary course of business, the Company is subject to various actual and potential claims, lawsuits and other proceedings. Some of the claims, lawsuits and other proceedings seek damages in amounts which could, if assessed, be significant. We expect the impact of claims or demands not described below to be immaterial to the Company’s condensed consolidated financial statements. The Company also receives subpoenas in the ordinary course of business and, from time to time, receives requests for information in connection with governmental investigations.</w:t>
      </w:r>
    </w:p>
    <w:p>
      <w:pPr>
        <w:spacing w:after="0" w:line="98"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Arial" w:cs="Arial" w:eastAsia="Arial" w:hAnsi="Arial"/>
          <w:sz w:val="13"/>
          <w:szCs w:val="13"/>
          <w:color w:val="auto"/>
        </w:rPr>
        <w:t>—</w:t>
      </w:r>
      <w:r>
        <w:rPr>
          <w:rFonts w:ascii="Arial" w:cs="Arial" w:eastAsia="Arial" w:hAnsi="Arial"/>
          <w:sz w:val="17"/>
          <w:szCs w:val="17"/>
          <w:color w:val="auto"/>
        </w:rPr>
        <w:t xml:space="preserve"> Supplementary Information for Certain Balance Sheet Accounts for the amounts accrued at September 30, 2022 and December 31, 2021 in the condensed consolidated balance sheets.</w:t>
      </w:r>
    </w:p>
    <w:p>
      <w:pPr>
        <w:spacing w:after="0" w:line="13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particular quarterly or annual periods. In addition, given the early stages of some litigation or regulatory proceedings described below, it may not be possible to predict their outcomes or resolutions, and it is possible that any one or more of these events may have a material adverse effect on the Company.</w:t>
      </w:r>
    </w:p>
    <w:p>
      <w:pPr>
        <w:spacing w:after="0" w:line="12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The Company provides for contingent liabilities based on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30" w:lineRule="exact"/>
        <w:rPr>
          <w:sz w:val="20"/>
          <w:szCs w:val="20"/>
          <w:color w:val="auto"/>
        </w:rPr>
      </w:pPr>
    </w:p>
    <w:p>
      <w:pPr>
        <w:ind w:right="5440"/>
        <w:spacing w:after="0" w:line="383" w:lineRule="auto"/>
        <w:rPr>
          <w:sz w:val="20"/>
          <w:szCs w:val="20"/>
          <w:color w:val="auto"/>
        </w:rPr>
      </w:pPr>
      <w:r>
        <w:rPr>
          <w:rFonts w:ascii="Arial" w:cs="Arial" w:eastAsia="Arial" w:hAnsi="Arial"/>
          <w:sz w:val="18"/>
          <w:szCs w:val="18"/>
          <w:b w:val="1"/>
          <w:bCs w:val="1"/>
          <w:color w:val="auto"/>
        </w:rPr>
        <w:t xml:space="preserve">Note 15 — Supplementary Information for Certain Balance Sheet Accounts </w:t>
      </w:r>
      <w:r>
        <w:rPr>
          <w:rFonts w:ascii="Arial" w:cs="Arial" w:eastAsia="Arial" w:hAnsi="Arial"/>
          <w:sz w:val="18"/>
          <w:szCs w:val="18"/>
          <w:color w:val="auto"/>
        </w:rPr>
        <w:t>Additional details of specific balance sheet accounts are detailed below. Prepaid and other current assets consist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Prepayments and accrued income</w:t>
            </w:r>
          </w:p>
        </w:tc>
        <w:tc>
          <w:tcPr>
            <w:tcW w:w="24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137</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200</w:t>
            </w: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contract costs</w:t>
            </w:r>
          </w:p>
        </w:tc>
        <w:tc>
          <w:tcPr>
            <w:tcW w:w="2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63</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74</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Derivatives and investments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35</w:t>
            </w: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compensation plan assets</w:t>
            </w:r>
          </w:p>
        </w:tc>
        <w:tc>
          <w:tcPr>
            <w:tcW w:w="2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Corporate income and other taxes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82</w:t>
            </w: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renewal commissions receivable</w:t>
            </w:r>
          </w:p>
        </w:tc>
        <w:tc>
          <w:tcPr>
            <w:tcW w:w="2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prepaid and other current assets</w:t>
            </w:r>
          </w:p>
        </w:tc>
        <w:tc>
          <w:tcPr>
            <w:tcW w:w="24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476</w:t>
            </w: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612</w:t>
            </w:r>
          </w:p>
        </w:tc>
      </w:tr>
      <w:tr>
        <w:trPr>
          <w:trHeight w:val="358"/>
        </w:trPr>
        <w:tc>
          <w:tcPr>
            <w:tcW w:w="5100" w:type="dxa"/>
            <w:vAlign w:val="bottom"/>
          </w:tcPr>
          <w:p>
            <w:pPr>
              <w:spacing w:after="0"/>
              <w:rPr>
                <w:sz w:val="20"/>
                <w:szCs w:val="20"/>
                <w:color w:val="auto"/>
              </w:rPr>
            </w:pPr>
            <w:r>
              <w:rPr>
                <w:rFonts w:ascii="Arial" w:cs="Arial" w:eastAsia="Arial" w:hAnsi="Arial"/>
                <w:sz w:val="18"/>
                <w:szCs w:val="18"/>
                <w:color w:val="auto"/>
                <w:w w:val="98"/>
              </w:rPr>
              <w:t>Deferred revenue and accrued expenses consist of the following:</w:t>
            </w: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1"/>
        </w:trPr>
        <w:tc>
          <w:tcPr>
            <w:tcW w:w="5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54"/>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 accrued liabilities and deferred income</w:t>
            </w:r>
          </w:p>
        </w:tc>
        <w:tc>
          <w:tcPr>
            <w:tcW w:w="2540" w:type="dxa"/>
            <w:vAlign w:val="bottom"/>
            <w:gridSpan w:val="2"/>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898</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Accrued discretionary and incentive compensation</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811</w:t>
            </w: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vacation</w:t>
            </w:r>
          </w:p>
        </w:tc>
        <w:tc>
          <w:tcPr>
            <w:tcW w:w="2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145</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Other employee-related liabilities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72</w:t>
            </w: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revenue and accrued expenses</w:t>
            </w:r>
          </w:p>
        </w:tc>
        <w:tc>
          <w:tcPr>
            <w:tcW w:w="254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1,926</w:t>
            </w:r>
          </w:p>
        </w:tc>
      </w:tr>
      <w:tr>
        <w:trPr>
          <w:trHeight w:val="574"/>
        </w:trPr>
        <w:tc>
          <w:tcPr>
            <w:tcW w:w="5100" w:type="dxa"/>
            <w:vAlign w:val="bottom"/>
          </w:tcPr>
          <w:p>
            <w:pPr>
              <w:spacing w:after="0"/>
              <w:rPr>
                <w:sz w:val="24"/>
                <w:szCs w:val="24"/>
                <w:color w:val="auto"/>
              </w:rPr>
            </w:pPr>
          </w:p>
        </w:tc>
        <w:tc>
          <w:tcPr>
            <w:tcW w:w="2440" w:type="dxa"/>
            <w:vAlign w:val="bottom"/>
          </w:tcPr>
          <w:p>
            <w:pPr>
              <w:jc w:val="right"/>
              <w:ind w:right="17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8"/>
        </w:trPr>
        <w:tc>
          <w:tcPr>
            <w:tcW w:w="510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-1771650</wp:posOffset>
            </wp:positionV>
            <wp:extent cx="1111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-1754505</wp:posOffset>
            </wp:positionV>
            <wp:extent cx="1111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-470535</wp:posOffset>
            </wp:positionV>
            <wp:extent cx="1200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-453390</wp:posOffset>
            </wp:positionV>
            <wp:extent cx="1200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Other current liabilities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center"/>
              <w:ind w:left="261"/>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payable</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102</w:t>
            </w: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Income and other taxes payable</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6"/>
              </w:rPr>
              <w:t>153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278</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payable</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Deferred compensation plan liabilities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and deferred consideration on acquisitions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Accrued retirement benefits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Payroll and other benefits-related liabilities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6"/>
              </w:rPr>
              <w:t>220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230</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Third-party commissions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128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110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current liabilities</w:t>
            </w:r>
          </w:p>
        </w:tc>
        <w:tc>
          <w:tcPr>
            <w:tcW w:w="7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851</w:t>
            </w:r>
          </w:p>
        </w:tc>
        <w:tc>
          <w:tcPr>
            <w:tcW w:w="8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399"/>
        </w:trPr>
        <w:tc>
          <w:tcPr>
            <w:tcW w:w="5820" w:type="dxa"/>
            <w:vAlign w:val="bottom"/>
          </w:tcPr>
          <w:p>
            <w:pPr>
              <w:spacing w:after="0"/>
              <w:rPr>
                <w:sz w:val="20"/>
                <w:szCs w:val="20"/>
                <w:color w:val="auto"/>
              </w:rPr>
            </w:pPr>
            <w:r>
              <w:rPr>
                <w:rFonts w:ascii="Arial" w:cs="Arial" w:eastAsia="Arial" w:hAnsi="Arial"/>
                <w:sz w:val="18"/>
                <w:szCs w:val="18"/>
                <w:color w:val="auto"/>
              </w:rPr>
              <w:t>Provision for liabilities consists of the following:</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center"/>
              <w:ind w:left="181"/>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Claims, lawsuits and other proceedings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306</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18"/>
                <w:szCs w:val="18"/>
                <w:color w:val="auto"/>
              </w:rPr>
            </w:pPr>
          </w:p>
        </w:tc>
        <w:tc>
          <w:tcPr>
            <w:tcW w:w="3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311</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 provisions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59</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provision for liabilities</w:t>
            </w:r>
          </w:p>
        </w:tc>
        <w:tc>
          <w:tcPr>
            <w:tcW w:w="7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365</w:t>
            </w: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375</w:t>
            </w:r>
          </w:p>
        </w:tc>
        <w:tc>
          <w:tcPr>
            <w:tcW w:w="0" w:type="dxa"/>
            <w:vAlign w:val="bottom"/>
          </w:tcPr>
          <w:p>
            <w:pPr>
              <w:spacing w:after="0"/>
              <w:rPr>
                <w:sz w:val="1"/>
                <w:szCs w:val="1"/>
                <w:color w:val="auto"/>
              </w:rPr>
            </w:pPr>
          </w:p>
        </w:tc>
      </w:tr>
      <w:tr>
        <w:trPr>
          <w:trHeight w:val="399"/>
        </w:trPr>
        <w:tc>
          <w:tcPr>
            <w:tcW w:w="5820" w:type="dxa"/>
            <w:vAlign w:val="bottom"/>
          </w:tcPr>
          <w:p>
            <w:pPr>
              <w:spacing w:after="0"/>
              <w:rPr>
                <w:sz w:val="20"/>
                <w:szCs w:val="20"/>
                <w:color w:val="auto"/>
              </w:rPr>
            </w:pPr>
            <w:r>
              <w:rPr>
                <w:rFonts w:ascii="Arial" w:cs="Arial" w:eastAsia="Arial" w:hAnsi="Arial"/>
                <w:sz w:val="18"/>
                <w:szCs w:val="18"/>
                <w:color w:val="auto"/>
              </w:rPr>
              <w:t>Other non-current liabilities consists of the following:</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center"/>
              <w:ind w:left="181"/>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compensation plan liability</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75</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18"/>
                <w:szCs w:val="18"/>
                <w:color w:val="auto"/>
              </w:rPr>
            </w:pPr>
          </w:p>
        </w:tc>
        <w:tc>
          <w:tcPr>
            <w:tcW w:w="3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Contingent and deferred consideration on acquisitions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for uncertain tax positions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32</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7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Total other non-current liabilities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761"/>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203</w:t>
            </w:r>
          </w:p>
        </w:tc>
        <w:tc>
          <w:tcPr>
            <w:tcW w:w="62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253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Note 16 — Other Income, Net</w:t>
            </w: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820" w:type="dxa"/>
            <w:vAlign w:val="bottom"/>
          </w:tcPr>
          <w:p>
            <w:pPr>
              <w:spacing w:after="0"/>
              <w:rPr>
                <w:sz w:val="20"/>
                <w:szCs w:val="20"/>
                <w:color w:val="auto"/>
              </w:rPr>
            </w:pPr>
            <w:r>
              <w:rPr>
                <w:rFonts w:ascii="Arial" w:cs="Arial" w:eastAsia="Arial" w:hAnsi="Arial"/>
                <w:sz w:val="18"/>
                <w:szCs w:val="18"/>
                <w:color w:val="auto"/>
              </w:rPr>
              <w:t>Other income, net consists of the following:</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820" w:type="dxa"/>
            <w:vAlign w:val="bottom"/>
          </w:tcPr>
          <w:p>
            <w:pPr>
              <w:spacing w:after="0"/>
              <w:rPr>
                <w:sz w:val="24"/>
                <w:szCs w:val="24"/>
                <w:color w:val="auto"/>
              </w:rPr>
            </w:pPr>
          </w:p>
        </w:tc>
        <w:tc>
          <w:tcPr>
            <w:tcW w:w="2800" w:type="dxa"/>
            <w:vAlign w:val="bottom"/>
            <w:gridSpan w:val="7"/>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7"/>
          </w:tcPr>
          <w:p>
            <w:pPr>
              <w:jc w:val="right"/>
              <w:ind w:right="230"/>
              <w:spacing w:after="0"/>
              <w:rPr>
                <w:sz w:val="20"/>
                <w:szCs w:val="20"/>
                <w:color w:val="auto"/>
              </w:rPr>
            </w:pPr>
            <w:r>
              <w:rPr>
                <w:rFonts w:ascii="Arial" w:cs="Arial" w:eastAsia="Arial" w:hAnsi="Arial"/>
                <w:sz w:val="14"/>
                <w:szCs w:val="14"/>
                <w:b w:val="1"/>
                <w:bCs w:val="1"/>
                <w:color w:val="auto"/>
                <w:w w:val="93"/>
              </w:rPr>
              <w:t>Nine Months Ended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line="209" w:lineRule="exact"/>
              <w:rPr>
                <w:sz w:val="20"/>
                <w:szCs w:val="20"/>
                <w:color w:val="auto"/>
              </w:rPr>
            </w:pPr>
            <w:r>
              <w:rPr>
                <w:rFonts w:ascii="Arial" w:cs="Arial" w:eastAsia="Arial" w:hAnsi="Arial"/>
                <w:sz w:val="18"/>
                <w:szCs w:val="18"/>
                <w:color w:val="auto"/>
              </w:rPr>
              <w:t xml:space="preserve">Gain/(loss) on disposal of operations </w:t>
            </w:r>
            <w:r>
              <w:rPr>
                <w:rFonts w:ascii="Arial" w:cs="Arial" w:eastAsia="Arial" w:hAnsi="Arial"/>
                <w:sz w:val="24"/>
                <w:szCs w:val="24"/>
                <w:color w:val="auto"/>
                <w:vertAlign w:val="superscript"/>
              </w:rPr>
              <w:t>(i)</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380</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Net periodic pension and postretirement benefit credits</w:t>
            </w:r>
          </w:p>
        </w:tc>
        <w:tc>
          <w:tcPr>
            <w:tcW w:w="780" w:type="dxa"/>
            <w:vAlign w:val="bottom"/>
          </w:tcPr>
          <w:p>
            <w:pPr>
              <w:spacing w:after="0"/>
              <w:rPr>
                <w:sz w:val="18"/>
                <w:szCs w:val="18"/>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5"/>
          </w:tcPr>
          <w:p>
            <w:pPr>
              <w:jc w:val="right"/>
              <w:ind w:right="3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227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 earnings of associates and other investments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gridSpan w:val="5"/>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Foreign exchange (loss)/gain</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5"/>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5"/>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620" w:type="dxa"/>
            <w:vAlign w:val="bottom"/>
            <w:gridSpan w:val="5"/>
          </w:tcPr>
          <w:p>
            <w:pPr>
              <w:jc w:val="right"/>
              <w:ind w:right="30"/>
              <w:spacing w:after="0"/>
              <w:rPr>
                <w:sz w:val="20"/>
                <w:szCs w:val="20"/>
                <w:color w:val="auto"/>
              </w:rPr>
            </w:pPr>
            <w:r>
              <w:rPr>
                <w:rFonts w:ascii="Arial" w:cs="Arial" w:eastAsia="Arial" w:hAnsi="Arial"/>
                <w:sz w:val="18"/>
                <w:szCs w:val="18"/>
                <w:color w:val="auto"/>
              </w:rPr>
              <w:t>205</w:t>
            </w: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617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-4340225</wp:posOffset>
            </wp:positionV>
            <wp:extent cx="1200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-4323080</wp:posOffset>
            </wp:positionV>
            <wp:extent cx="1200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-3287395</wp:posOffset>
            </wp:positionV>
            <wp:extent cx="1111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-3270250</wp:posOffset>
            </wp:positionV>
            <wp:extent cx="1111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-1968500</wp:posOffset>
            </wp:positionV>
            <wp:extent cx="111125"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-170815</wp:posOffset>
            </wp:positionV>
            <wp:extent cx="93980"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-170815</wp:posOffset>
            </wp:positionV>
            <wp:extent cx="85725"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-170815</wp:posOffset>
            </wp:positionV>
            <wp:extent cx="85725" cy="171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2"/>
          <w:szCs w:val="12"/>
          <w:color w:val="auto"/>
        </w:rPr>
        <w:t>For the nine months ended September 30, 2022, includes a $24 million non-cash revaluation gain related to an acquisition completed in stages.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17 — Accumulated Other Comprehensive Loss</w:t>
      </w:r>
    </w:p>
    <w:p>
      <w:pPr>
        <w:spacing w:after="0" w:line="12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Changes in accumulated other comprehensive loss, net of non-controlling interests, and net of tax are provided in the following tables for the three and nine months ended September 30, 2022 and 2021. These tables exclude amounts attributable to non-controlling interests, which are not material for further disclosure.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2C2C2C"/>
              </w:rPr>
              <w:t>Foreign currency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vMerge w:val="restart"/>
          </w:tcPr>
          <w:p>
            <w:pPr>
              <w:jc w:val="right"/>
              <w:ind w:right="299"/>
              <w:spacing w:after="0"/>
              <w:rPr>
                <w:sz w:val="20"/>
                <w:szCs w:val="20"/>
                <w:color w:val="auto"/>
              </w:rPr>
            </w:pPr>
            <w:r>
              <w:rPr>
                <w:rFonts w:ascii="Arial" w:cs="Arial" w:eastAsia="Arial" w:hAnsi="Arial"/>
                <w:sz w:val="14"/>
                <w:szCs w:val="14"/>
                <w:b w:val="1"/>
                <w:bCs w:val="1"/>
                <w:color w:val="2C2C2C"/>
              </w:rPr>
              <w:t>Derivative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2C2C2C"/>
                <w:w w:val="90"/>
              </w:rPr>
              <w:t>Defined pension and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160"/>
              <w:spacing w:after="0" w:line="144" w:lineRule="exact"/>
              <w:rPr>
                <w:sz w:val="20"/>
                <w:szCs w:val="20"/>
                <w:color w:val="auto"/>
              </w:rPr>
            </w:pPr>
            <w:r>
              <w:rPr>
                <w:rFonts w:ascii="Arial" w:cs="Arial" w:eastAsia="Arial" w:hAnsi="Arial"/>
                <w:sz w:val="14"/>
                <w:szCs w:val="14"/>
                <w:b w:val="1"/>
                <w:bCs w:val="1"/>
                <w:color w:val="2C2C2C"/>
                <w:w w:val="93"/>
              </w:rPr>
              <w:t>post-retirement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480"/>
              <w:spacing w:after="0" w:line="203" w:lineRule="exact"/>
              <w:rPr>
                <w:sz w:val="20"/>
                <w:szCs w:val="20"/>
                <w:color w:val="auto"/>
              </w:rPr>
            </w:pPr>
            <w:r>
              <w:rPr>
                <w:rFonts w:ascii="Arial" w:cs="Arial" w:eastAsia="Arial" w:hAnsi="Arial"/>
                <w:sz w:val="14"/>
                <w:szCs w:val="14"/>
                <w:b w:val="1"/>
                <w:bCs w:val="1"/>
                <w:color w:val="2C2C2C"/>
              </w:rPr>
              <w:t xml:space="preserve">translation </w:t>
            </w:r>
            <w:r>
              <w:rPr>
                <w:rFonts w:ascii="Arial" w:cs="Arial" w:eastAsia="Arial" w:hAnsi="Arial"/>
                <w:sz w:val="19"/>
                <w:szCs w:val="19"/>
                <w:b w:val="1"/>
                <w:bCs w:val="1"/>
                <w:color w:val="2C2C2C"/>
                <w:vertAlign w:val="superscript"/>
              </w:rPr>
              <w:t>(i)</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59"/>
              <w:spacing w:after="0" w:line="203" w:lineRule="exact"/>
              <w:rPr>
                <w:sz w:val="20"/>
                <w:szCs w:val="20"/>
                <w:color w:val="auto"/>
              </w:rPr>
            </w:pPr>
            <w:r>
              <w:rPr>
                <w:rFonts w:ascii="Arial" w:cs="Arial" w:eastAsia="Arial" w:hAnsi="Arial"/>
                <w:sz w:val="14"/>
                <w:szCs w:val="14"/>
                <w:b w:val="1"/>
                <w:bCs w:val="1"/>
                <w:color w:val="2C2C2C"/>
              </w:rPr>
              <w:t xml:space="preserve">instruments </w:t>
            </w:r>
            <w:r>
              <w:rPr>
                <w:rFonts w:ascii="Arial" w:cs="Arial" w:eastAsia="Arial" w:hAnsi="Arial"/>
                <w:sz w:val="19"/>
                <w:szCs w:val="19"/>
                <w:b w:val="1"/>
                <w:bCs w:val="1"/>
                <w:color w:val="2C2C2C"/>
                <w:vertAlign w:val="superscript"/>
              </w:rPr>
              <w:t>(i)</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ind w:right="160"/>
              <w:spacing w:after="0" w:line="203" w:lineRule="exact"/>
              <w:rPr>
                <w:sz w:val="20"/>
                <w:szCs w:val="20"/>
                <w:color w:val="auto"/>
              </w:rPr>
            </w:pPr>
            <w:r>
              <w:rPr>
                <w:rFonts w:ascii="Arial" w:cs="Arial" w:eastAsia="Arial" w:hAnsi="Arial"/>
                <w:sz w:val="14"/>
                <w:szCs w:val="14"/>
                <w:b w:val="1"/>
                <w:bCs w:val="1"/>
                <w:color w:val="2C2C2C"/>
                <w:w w:val="86"/>
              </w:rPr>
              <w:t xml:space="preserve">benefit costs </w:t>
            </w:r>
            <w:r>
              <w:rPr>
                <w:rFonts w:ascii="Arial" w:cs="Arial" w:eastAsia="Arial" w:hAnsi="Arial"/>
                <w:sz w:val="19"/>
                <w:szCs w:val="19"/>
                <w:b w:val="1"/>
                <w:bCs w:val="1"/>
                <w:color w:val="2C2C2C"/>
                <w:w w:val="86"/>
                <w:vertAlign w:val="superscript"/>
              </w:rPr>
              <w:t>(ii)</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2C2C2C"/>
              </w:rPr>
              <w:t>Total</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41"/>
              <w:spacing w:after="0"/>
              <w:rPr>
                <w:sz w:val="20"/>
                <w:szCs w:val="20"/>
                <w:color w:val="auto"/>
              </w:rPr>
            </w:pPr>
            <w:r>
              <w:rPr>
                <w:rFonts w:ascii="Arial" w:cs="Arial" w:eastAsia="Arial" w:hAnsi="Arial"/>
                <w:sz w:val="14"/>
                <w:szCs w:val="14"/>
                <w:b w:val="1"/>
                <w:bCs w:val="1"/>
                <w:color w:val="2C2C2C"/>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60"/>
              <w:spacing w:after="0"/>
              <w:rPr>
                <w:sz w:val="20"/>
                <w:szCs w:val="20"/>
                <w:color w:val="auto"/>
              </w:rPr>
            </w:pPr>
            <w:r>
              <w:rPr>
                <w:rFonts w:ascii="Arial" w:cs="Arial" w:eastAsia="Arial" w:hAnsi="Arial"/>
                <w:sz w:val="14"/>
                <w:szCs w:val="14"/>
                <w:b w:val="1"/>
                <w:bCs w:val="1"/>
                <w:color w:val="2C2C2C"/>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1"/>
              <w:spacing w:after="0"/>
              <w:rPr>
                <w:sz w:val="20"/>
                <w:szCs w:val="20"/>
                <w:color w:val="auto"/>
              </w:rPr>
            </w:pPr>
            <w:r>
              <w:rPr>
                <w:rFonts w:ascii="Arial" w:cs="Arial" w:eastAsia="Arial" w:hAnsi="Arial"/>
                <w:sz w:val="14"/>
                <w:szCs w:val="14"/>
                <w:b w:val="1"/>
                <w:bCs w:val="1"/>
                <w:color w:val="2C2C2C"/>
              </w:rPr>
              <w:t>2022</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2C2C2C"/>
              </w:rPr>
              <w:t>2021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22"/>
              <w:spacing w:after="0"/>
              <w:rPr>
                <w:sz w:val="20"/>
                <w:szCs w:val="20"/>
                <w:color w:val="auto"/>
              </w:rPr>
            </w:pPr>
            <w:r>
              <w:rPr>
                <w:rFonts w:ascii="Arial" w:cs="Arial" w:eastAsia="Arial" w:hAnsi="Arial"/>
                <w:sz w:val="14"/>
                <w:szCs w:val="14"/>
                <w:b w:val="1"/>
                <w:bCs w:val="1"/>
                <w:color w:val="2C2C2C"/>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20"/>
              <w:spacing w:after="0"/>
              <w:rPr>
                <w:sz w:val="20"/>
                <w:szCs w:val="20"/>
                <w:color w:val="auto"/>
              </w:rPr>
            </w:pPr>
            <w:r>
              <w:rPr>
                <w:rFonts w:ascii="Arial" w:cs="Arial" w:eastAsia="Arial" w:hAnsi="Arial"/>
                <w:sz w:val="14"/>
                <w:szCs w:val="14"/>
                <w:b w:val="1"/>
                <w:bCs w:val="1"/>
                <w:color w:val="2C2C2C"/>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21"/>
              <w:spacing w:after="0"/>
              <w:rPr>
                <w:sz w:val="20"/>
                <w:szCs w:val="20"/>
                <w:color w:val="auto"/>
              </w:rPr>
            </w:pPr>
            <w:r>
              <w:rPr>
                <w:rFonts w:ascii="Arial" w:cs="Arial" w:eastAsia="Arial" w:hAnsi="Arial"/>
                <w:sz w:val="14"/>
                <w:szCs w:val="14"/>
                <w:b w:val="1"/>
                <w:bCs w:val="1"/>
                <w:color w:val="2C2C2C"/>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40"/>
              <w:spacing w:after="0"/>
              <w:rPr>
                <w:sz w:val="20"/>
                <w:szCs w:val="20"/>
                <w:color w:val="auto"/>
              </w:rPr>
            </w:pPr>
            <w:r>
              <w:rPr>
                <w:rFonts w:ascii="Arial" w:cs="Arial" w:eastAsia="Arial" w:hAnsi="Arial"/>
                <w:sz w:val="14"/>
                <w:szCs w:val="14"/>
                <w:b w:val="1"/>
                <w:bCs w:val="1"/>
                <w:color w:val="2C2C2C"/>
              </w:rPr>
              <w:t>2021</w:t>
            </w: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2C2C2C"/>
              </w:rPr>
              <w:t>Quarter-to-date activity:</w:t>
            </w: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20"/>
              <w:spacing w:after="0"/>
              <w:rPr>
                <w:sz w:val="20"/>
                <w:szCs w:val="20"/>
                <w:color w:val="auto"/>
              </w:rPr>
            </w:pPr>
            <w:r>
              <w:rPr>
                <w:rFonts w:ascii="Arial" w:cs="Arial" w:eastAsia="Arial" w:hAnsi="Arial"/>
                <w:sz w:val="14"/>
                <w:szCs w:val="14"/>
                <w:color w:val="2C2C2C"/>
              </w:rPr>
              <w:t>Balance at June 30, 2022 and 2021, respectively</w:t>
            </w:r>
          </w:p>
        </w:tc>
        <w:tc>
          <w:tcPr>
            <w:tcW w:w="140" w:type="dxa"/>
            <w:vAlign w:val="bottom"/>
          </w:tcPr>
          <w:p>
            <w:pPr>
              <w:jc w:val="right"/>
              <w:spacing w:after="0"/>
              <w:rPr>
                <w:sz w:val="20"/>
                <w:szCs w:val="20"/>
                <w:color w:val="auto"/>
              </w:rPr>
            </w:pPr>
            <w:r>
              <w:rPr>
                <w:rFonts w:ascii="Arial" w:cs="Arial" w:eastAsia="Arial" w:hAnsi="Arial"/>
                <w:sz w:val="15"/>
                <w:szCs w:val="15"/>
                <w:color w:val="2C2C2C"/>
                <w:w w:val="71"/>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(794 )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(376 )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2C2C2C"/>
              </w:rPr>
              <w:t>6</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2C2C2C"/>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2C2C2C"/>
                <w:w w:val="89"/>
              </w:rPr>
              <w:t>13</w:t>
            </w:r>
          </w:p>
        </w:tc>
        <w:tc>
          <w:tcPr>
            <w:tcW w:w="24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60" w:type="dxa"/>
            <w:vAlign w:val="bottom"/>
          </w:tcPr>
          <w:p>
            <w:pPr>
              <w:jc w:val="right"/>
              <w:spacing w:after="0"/>
              <w:rPr>
                <w:sz w:val="20"/>
                <w:szCs w:val="20"/>
                <w:color w:val="auto"/>
              </w:rPr>
            </w:pPr>
            <w:r>
              <w:rPr>
                <w:rFonts w:ascii="Arial" w:cs="Arial" w:eastAsia="Arial" w:hAnsi="Arial"/>
                <w:sz w:val="16"/>
                <w:szCs w:val="16"/>
                <w:color w:val="2C2C2C"/>
              </w:rPr>
              <w:t>(1,698 )</w:t>
            </w:r>
          </w:p>
        </w:tc>
        <w:tc>
          <w:tcPr>
            <w:tcW w:w="26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(1,915 )</w:t>
            </w:r>
          </w:p>
        </w:tc>
        <w:tc>
          <w:tcPr>
            <w:tcW w:w="26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(2,486 )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60" w:type="dxa"/>
            <w:vAlign w:val="bottom"/>
          </w:tcPr>
          <w:p>
            <w:pPr>
              <w:jc w:val="right"/>
              <w:spacing w:after="0"/>
              <w:rPr>
                <w:sz w:val="20"/>
                <w:szCs w:val="20"/>
                <w:color w:val="auto"/>
              </w:rPr>
            </w:pPr>
            <w:r>
              <w:rPr>
                <w:rFonts w:ascii="Arial" w:cs="Arial" w:eastAsia="Arial" w:hAnsi="Arial"/>
                <w:sz w:val="16"/>
                <w:szCs w:val="16"/>
                <w:color w:val="2C2C2C"/>
              </w:rPr>
              <w:t>(2,278 )</w:t>
            </w:r>
          </w:p>
        </w:tc>
        <w:tc>
          <w:tcPr>
            <w:tcW w:w="0" w:type="dxa"/>
            <w:vAlign w:val="bottom"/>
          </w:tcPr>
          <w:p>
            <w:pPr>
              <w:spacing w:after="0"/>
              <w:rPr>
                <w:sz w:val="1"/>
                <w:szCs w:val="1"/>
                <w:color w:val="auto"/>
              </w:rPr>
            </w:pPr>
          </w:p>
        </w:tc>
      </w:tr>
      <w:tr>
        <w:trPr>
          <w:trHeight w:val="143"/>
        </w:trPr>
        <w:tc>
          <w:tcPr>
            <w:tcW w:w="38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2C2C2C"/>
              </w:rPr>
              <w:t>Other comprehensive (loss)/income before</w:t>
            </w: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(240 )</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(81 )</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(5 )</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w w:val="99"/>
              </w:rPr>
              <w:t>(1 )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color w:val="2C2C2C"/>
              </w:rPr>
              <w:t>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2C2C2C"/>
              </w:rPr>
              <w:t>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(240 )</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(80 )</w:t>
            </w:r>
          </w:p>
        </w:tc>
        <w:tc>
          <w:tcPr>
            <w:tcW w:w="0" w:type="dxa"/>
            <w:vAlign w:val="bottom"/>
          </w:tcPr>
          <w:p>
            <w:pPr>
              <w:spacing w:after="0"/>
              <w:rPr>
                <w:sz w:val="1"/>
                <w:szCs w:val="1"/>
                <w:color w:val="auto"/>
              </w:rPr>
            </w:pPr>
          </w:p>
        </w:tc>
      </w:tr>
      <w:tr>
        <w:trPr>
          <w:trHeight w:val="181"/>
        </w:trPr>
        <w:tc>
          <w:tcPr>
            <w:tcW w:w="3860" w:type="dxa"/>
            <w:vAlign w:val="bottom"/>
            <w:shd w:val="clear" w:color="auto" w:fill="CFF0FC"/>
          </w:tcPr>
          <w:p>
            <w:pPr>
              <w:ind w:left="120"/>
              <w:spacing w:after="0"/>
              <w:rPr>
                <w:sz w:val="20"/>
                <w:szCs w:val="20"/>
                <w:color w:val="auto"/>
              </w:rPr>
            </w:pPr>
            <w:r>
              <w:rPr>
                <w:rFonts w:ascii="Arial" w:cs="Arial" w:eastAsia="Arial" w:hAnsi="Arial"/>
                <w:sz w:val="14"/>
                <w:szCs w:val="14"/>
                <w:color w:val="2C2C2C"/>
              </w:rPr>
              <w:t>reclassifications</w:t>
            </w: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860" w:type="dxa"/>
            <w:vAlign w:val="bottom"/>
          </w:tcPr>
          <w:p>
            <w:pPr>
              <w:ind w:left="20"/>
              <w:spacing w:after="0" w:line="143" w:lineRule="exact"/>
              <w:rPr>
                <w:sz w:val="20"/>
                <w:szCs w:val="20"/>
                <w:color w:val="auto"/>
              </w:rPr>
            </w:pPr>
            <w:r>
              <w:rPr>
                <w:rFonts w:ascii="Arial" w:cs="Arial" w:eastAsia="Arial" w:hAnsi="Arial"/>
                <w:sz w:val="14"/>
                <w:szCs w:val="14"/>
                <w:color w:val="2C2C2C"/>
              </w:rPr>
              <w:t>Loss/(gain) reclassified from accumulated other</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120"/>
              <w:spacing w:after="0" w:line="149" w:lineRule="exact"/>
              <w:rPr>
                <w:sz w:val="20"/>
                <w:szCs w:val="20"/>
                <w:color w:val="auto"/>
              </w:rPr>
            </w:pPr>
            <w:r>
              <w:rPr>
                <w:rFonts w:ascii="Arial" w:cs="Arial" w:eastAsia="Arial" w:hAnsi="Arial"/>
                <w:sz w:val="14"/>
                <w:szCs w:val="14"/>
                <w:color w:val="2C2C2C"/>
              </w:rPr>
              <w:t>comprehensive loss (net of income tax benefit of</w:t>
            </w:r>
          </w:p>
        </w:tc>
        <w:tc>
          <w:tcPr>
            <w:tcW w:w="14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2C2C2C"/>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6"/>
                <w:szCs w:val="16"/>
                <w:color w:val="2C2C2C"/>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6"/>
                <w:szCs w:val="16"/>
                <w:color w:val="2C2C2C"/>
              </w:rPr>
              <w:t>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2C2C2C"/>
                <w:w w:val="99"/>
              </w:rPr>
              <w:t>(1 )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2C2C2C"/>
              </w:rPr>
              <w:t>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color w:val="2C2C2C"/>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41"/>
              <w:spacing w:after="0"/>
              <w:rPr>
                <w:sz w:val="20"/>
                <w:szCs w:val="20"/>
                <w:color w:val="auto"/>
              </w:rPr>
            </w:pPr>
            <w:r>
              <w:rPr>
                <w:rFonts w:ascii="Arial" w:cs="Arial" w:eastAsia="Arial" w:hAnsi="Arial"/>
                <w:sz w:val="16"/>
                <w:szCs w:val="16"/>
                <w:color w:val="2C2C2C"/>
              </w:rPr>
              <w:t>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2C2C2C"/>
              </w:rPr>
              <w:t>(1 )</w:t>
            </w:r>
          </w:p>
        </w:tc>
        <w:tc>
          <w:tcPr>
            <w:tcW w:w="0" w:type="dxa"/>
            <w:vAlign w:val="bottom"/>
          </w:tcPr>
          <w:p>
            <w:pPr>
              <w:spacing w:after="0"/>
              <w:rPr>
                <w:sz w:val="1"/>
                <w:szCs w:val="1"/>
                <w:color w:val="auto"/>
              </w:rPr>
            </w:pPr>
          </w:p>
        </w:tc>
      </w:tr>
      <w:tr>
        <w:trPr>
          <w:trHeight w:val="181"/>
        </w:trPr>
        <w:tc>
          <w:tcPr>
            <w:tcW w:w="3860" w:type="dxa"/>
            <w:vAlign w:val="bottom"/>
          </w:tcPr>
          <w:p>
            <w:pPr>
              <w:ind w:left="120"/>
              <w:spacing w:after="0"/>
              <w:rPr>
                <w:sz w:val="20"/>
                <w:szCs w:val="20"/>
                <w:color w:val="auto"/>
              </w:rPr>
            </w:pPr>
            <w:r>
              <w:rPr>
                <w:rFonts w:ascii="Arial" w:cs="Arial" w:eastAsia="Arial" w:hAnsi="Arial"/>
                <w:sz w:val="14"/>
                <w:szCs w:val="14"/>
                <w:color w:val="2C2C2C"/>
              </w:rPr>
              <w:t>$2 and $8, respectively)</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8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2C2C2C"/>
              </w:rPr>
              <w:t>Net current-period other comprehensive</w:t>
            </w: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(240 )</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(81 )</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(4 )</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w w:val="99"/>
              </w:rPr>
              <w:t>(2 )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color w:val="2C2C2C"/>
              </w:rPr>
              <w:t>10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2C2C2C"/>
              </w:rPr>
              <w:t>2</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(234 )</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(81 )</w:t>
            </w:r>
          </w:p>
        </w:tc>
        <w:tc>
          <w:tcPr>
            <w:tcW w:w="0" w:type="dxa"/>
            <w:vAlign w:val="bottom"/>
          </w:tcPr>
          <w:p>
            <w:pPr>
              <w:spacing w:after="0"/>
              <w:rPr>
                <w:sz w:val="1"/>
                <w:szCs w:val="1"/>
                <w:color w:val="auto"/>
              </w:rPr>
            </w:pPr>
          </w:p>
        </w:tc>
      </w:tr>
      <w:tr>
        <w:trPr>
          <w:trHeight w:val="167"/>
        </w:trPr>
        <w:tc>
          <w:tcPr>
            <w:tcW w:w="3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2C2C2C"/>
              </w:rPr>
              <w:t>(loss)/income</w:t>
            </w: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4"/>
                <w:szCs w:val="14"/>
                <w:color w:val="2C2C2C"/>
              </w:rPr>
              <w:t>Balance at September 30, 2022 and 2021, respectively</w:t>
            </w:r>
          </w:p>
        </w:tc>
        <w:tc>
          <w:tcPr>
            <w:tcW w:w="140" w:type="dxa"/>
            <w:vAlign w:val="bottom"/>
          </w:tcPr>
          <w:p>
            <w:pPr>
              <w:jc w:val="right"/>
              <w:spacing w:after="0"/>
              <w:rPr>
                <w:sz w:val="20"/>
                <w:szCs w:val="20"/>
                <w:color w:val="auto"/>
              </w:rPr>
            </w:pPr>
            <w:r>
              <w:rPr>
                <w:rFonts w:ascii="Arial" w:cs="Arial" w:eastAsia="Arial" w:hAnsi="Arial"/>
                <w:sz w:val="15"/>
                <w:szCs w:val="15"/>
                <w:color w:val="2C2C2C"/>
                <w:w w:val="71"/>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(1,034 )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(457 )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2C2C2C"/>
              </w:rPr>
              <w:t>2</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2C2C2C"/>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2C2C2C"/>
                <w:w w:val="89"/>
              </w:rPr>
              <w:t>11</w:t>
            </w:r>
          </w:p>
        </w:tc>
        <w:tc>
          <w:tcPr>
            <w:tcW w:w="24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60" w:type="dxa"/>
            <w:vAlign w:val="bottom"/>
          </w:tcPr>
          <w:p>
            <w:pPr>
              <w:jc w:val="right"/>
              <w:spacing w:after="0"/>
              <w:rPr>
                <w:sz w:val="20"/>
                <w:szCs w:val="20"/>
                <w:color w:val="auto"/>
              </w:rPr>
            </w:pPr>
            <w:r>
              <w:rPr>
                <w:rFonts w:ascii="Arial" w:cs="Arial" w:eastAsia="Arial" w:hAnsi="Arial"/>
                <w:sz w:val="16"/>
                <w:szCs w:val="16"/>
                <w:color w:val="2C2C2C"/>
              </w:rPr>
              <w:t>(1,688 )</w:t>
            </w:r>
          </w:p>
        </w:tc>
        <w:tc>
          <w:tcPr>
            <w:tcW w:w="26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(1,913 )</w:t>
            </w:r>
          </w:p>
        </w:tc>
        <w:tc>
          <w:tcPr>
            <w:tcW w:w="26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40" w:type="dxa"/>
            <w:vAlign w:val="bottom"/>
          </w:tcPr>
          <w:p>
            <w:pPr>
              <w:jc w:val="right"/>
              <w:spacing w:after="0"/>
              <w:rPr>
                <w:sz w:val="20"/>
                <w:szCs w:val="20"/>
                <w:color w:val="auto"/>
              </w:rPr>
            </w:pPr>
            <w:r>
              <w:rPr>
                <w:rFonts w:ascii="Arial" w:cs="Arial" w:eastAsia="Arial" w:hAnsi="Arial"/>
                <w:sz w:val="16"/>
                <w:szCs w:val="16"/>
                <w:color w:val="2C2C2C"/>
              </w:rPr>
              <w:t>(2,720 )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60" w:type="dxa"/>
            <w:vAlign w:val="bottom"/>
          </w:tcPr>
          <w:p>
            <w:pPr>
              <w:jc w:val="right"/>
              <w:spacing w:after="0"/>
              <w:rPr>
                <w:sz w:val="20"/>
                <w:szCs w:val="20"/>
                <w:color w:val="auto"/>
              </w:rPr>
            </w:pPr>
            <w:r>
              <w:rPr>
                <w:rFonts w:ascii="Arial" w:cs="Arial" w:eastAsia="Arial" w:hAnsi="Arial"/>
                <w:sz w:val="16"/>
                <w:szCs w:val="16"/>
                <w:color w:val="2C2C2C"/>
              </w:rPr>
              <w:t>(2,359 )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4"/>
                <w:szCs w:val="14"/>
                <w:color w:val="2C2C2C"/>
              </w:rPr>
              <w:t>Year-to-date activity: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2C2C2C"/>
              </w:rPr>
              <w:t>Balance at December 31, 2021 and 2020, respectively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2C2C2C"/>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(489 )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2C2C2C"/>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(400 )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2C2C2C"/>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2C2C2C"/>
              </w:rPr>
              <w:t>11</w:t>
            </w:r>
          </w:p>
        </w:tc>
        <w:tc>
          <w:tcPr>
            <w:tcW w:w="660" w:type="dxa"/>
            <w:vAlign w:val="bottom"/>
            <w:gridSpan w:val="2"/>
            <w:shd w:val="clear" w:color="auto" w:fill="CFF0FC"/>
          </w:tcPr>
          <w:p>
            <w:pPr>
              <w:jc w:val="right"/>
              <w:ind w:right="359"/>
              <w:spacing w:after="0"/>
              <w:rPr>
                <w:sz w:val="20"/>
                <w:szCs w:val="20"/>
                <w:color w:val="auto"/>
              </w:rPr>
            </w:pPr>
            <w:r>
              <w:rPr>
                <w:rFonts w:ascii="Arial" w:cs="Arial" w:eastAsia="Arial" w:hAnsi="Arial"/>
                <w:sz w:val="16"/>
                <w:szCs w:val="16"/>
                <w:color w:val="2C2C2C"/>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2C2C2C"/>
              </w:rPr>
              <w:t>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2C2C2C"/>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(1,708 )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2C2C2C"/>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(1,968 )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2C2C2C"/>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(2,186 )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2C2C2C"/>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(2,359 )</w:t>
            </w:r>
          </w:p>
        </w:tc>
        <w:tc>
          <w:tcPr>
            <w:tcW w:w="0" w:type="dxa"/>
            <w:vAlign w:val="bottom"/>
          </w:tcPr>
          <w:p>
            <w:pPr>
              <w:spacing w:after="0"/>
              <w:rPr>
                <w:sz w:val="1"/>
                <w:szCs w:val="1"/>
                <w:color w:val="auto"/>
              </w:rPr>
            </w:pPr>
          </w:p>
        </w:tc>
      </w:tr>
      <w:tr>
        <w:trPr>
          <w:trHeight w:val="143"/>
        </w:trPr>
        <w:tc>
          <w:tcPr>
            <w:tcW w:w="3860" w:type="dxa"/>
            <w:vAlign w:val="bottom"/>
          </w:tcPr>
          <w:p>
            <w:pPr>
              <w:ind w:left="20"/>
              <w:spacing w:after="0" w:line="143" w:lineRule="exact"/>
              <w:rPr>
                <w:sz w:val="20"/>
                <w:szCs w:val="20"/>
                <w:color w:val="auto"/>
              </w:rPr>
            </w:pPr>
            <w:r>
              <w:rPr>
                <w:rFonts w:ascii="Arial" w:cs="Arial" w:eastAsia="Arial" w:hAnsi="Arial"/>
                <w:sz w:val="14"/>
                <w:szCs w:val="14"/>
                <w:color w:val="2C2C2C"/>
              </w:rPr>
              <w:t>Other comprehensive (loss)/income before</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2C2C2C"/>
              </w:rPr>
              <w:t>(545 )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2C2C2C"/>
              </w:rPr>
              <w:t>(101 )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2C2C2C"/>
              </w:rPr>
              <w:t>(8 )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2C2C2C"/>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color w:val="2C2C2C"/>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2C2C2C"/>
              </w:rPr>
              <w:t>(550 )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2C2C2C"/>
              </w:rPr>
              <w:t>(92 )</w:t>
            </w:r>
          </w:p>
        </w:tc>
        <w:tc>
          <w:tcPr>
            <w:tcW w:w="0" w:type="dxa"/>
            <w:vAlign w:val="bottom"/>
          </w:tcPr>
          <w:p>
            <w:pPr>
              <w:spacing w:after="0"/>
              <w:rPr>
                <w:sz w:val="1"/>
                <w:szCs w:val="1"/>
                <w:color w:val="auto"/>
              </w:rPr>
            </w:pPr>
          </w:p>
        </w:tc>
      </w:tr>
      <w:tr>
        <w:trPr>
          <w:trHeight w:val="181"/>
        </w:trPr>
        <w:tc>
          <w:tcPr>
            <w:tcW w:w="3860" w:type="dxa"/>
            <w:vAlign w:val="bottom"/>
          </w:tcPr>
          <w:p>
            <w:pPr>
              <w:ind w:left="120"/>
              <w:spacing w:after="0"/>
              <w:rPr>
                <w:sz w:val="20"/>
                <w:szCs w:val="20"/>
                <w:color w:val="auto"/>
              </w:rPr>
            </w:pPr>
            <w:r>
              <w:rPr>
                <w:rFonts w:ascii="Arial" w:cs="Arial" w:eastAsia="Arial" w:hAnsi="Arial"/>
                <w:sz w:val="14"/>
                <w:szCs w:val="14"/>
                <w:color w:val="2C2C2C"/>
              </w:rPr>
              <w:t>reclassifications</w:t>
            </w: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8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2C2C2C"/>
              </w:rPr>
              <w:t>Loss/(gain) reclassified from accumulated other</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60" w:type="dxa"/>
            <w:vAlign w:val="bottom"/>
            <w:shd w:val="clear" w:color="auto" w:fill="CFF0FC"/>
          </w:tcPr>
          <w:p>
            <w:pPr>
              <w:ind w:left="120"/>
              <w:spacing w:after="0" w:line="140" w:lineRule="exact"/>
              <w:rPr>
                <w:sz w:val="20"/>
                <w:szCs w:val="20"/>
                <w:color w:val="auto"/>
              </w:rPr>
            </w:pPr>
            <w:r>
              <w:rPr>
                <w:rFonts w:ascii="Arial" w:cs="Arial" w:eastAsia="Arial" w:hAnsi="Arial"/>
                <w:sz w:val="14"/>
                <w:szCs w:val="14"/>
                <w:color w:val="2C2C2C"/>
              </w:rPr>
              <w:t>comprehensive loss (net of income tax benefit of</w:t>
            </w: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1"/>
              <w:spacing w:after="0"/>
              <w:rPr>
                <w:sz w:val="20"/>
                <w:szCs w:val="20"/>
                <w:color w:val="auto"/>
              </w:rPr>
            </w:pPr>
            <w:r>
              <w:rPr>
                <w:rFonts w:ascii="Arial" w:cs="Arial" w:eastAsia="Arial" w:hAnsi="Arial"/>
                <w:sz w:val="16"/>
                <w:szCs w:val="16"/>
                <w:color w:val="2C2C2C"/>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2C2C2C"/>
              </w:rPr>
              <w:t>44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(1 )</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w w:val="99"/>
              </w:rPr>
              <w:t>(5 )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color w:val="2C2C2C"/>
              </w:rPr>
              <w:t>17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2C2C2C"/>
              </w:rPr>
              <w:t>53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1"/>
              <w:spacing w:after="0"/>
              <w:rPr>
                <w:sz w:val="20"/>
                <w:szCs w:val="20"/>
                <w:color w:val="auto"/>
              </w:rPr>
            </w:pPr>
            <w:r>
              <w:rPr>
                <w:rFonts w:ascii="Arial" w:cs="Arial" w:eastAsia="Arial" w:hAnsi="Arial"/>
                <w:sz w:val="16"/>
                <w:szCs w:val="16"/>
                <w:color w:val="2C2C2C"/>
              </w:rPr>
              <w:t>16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2C2C2C"/>
              </w:rPr>
              <w:t>92</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shd w:val="clear" w:color="auto" w:fill="CFF0FC"/>
          </w:tcPr>
          <w:p>
            <w:pPr>
              <w:ind w:left="120"/>
              <w:spacing w:after="0" w:line="189" w:lineRule="exact"/>
              <w:rPr>
                <w:sz w:val="20"/>
                <w:szCs w:val="20"/>
                <w:color w:val="auto"/>
              </w:rPr>
            </w:pPr>
            <w:r>
              <w:rPr>
                <w:rFonts w:ascii="Arial" w:cs="Arial" w:eastAsia="Arial" w:hAnsi="Arial"/>
                <w:sz w:val="14"/>
                <w:szCs w:val="14"/>
                <w:color w:val="2C2C2C"/>
              </w:rPr>
              <w:t xml:space="preserve">$6 and $15, respectively) </w:t>
            </w:r>
            <w:r>
              <w:rPr>
                <w:rFonts w:ascii="Arial" w:cs="Arial" w:eastAsia="Arial" w:hAnsi="Arial"/>
                <w:sz w:val="19"/>
                <w:szCs w:val="19"/>
                <w:color w:val="2C2C2C"/>
                <w:vertAlign w:val="superscript"/>
              </w:rPr>
              <w:t>(iii)</w:t>
            </w:r>
          </w:p>
        </w:tc>
        <w:tc>
          <w:tcPr>
            <w:tcW w:w="1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860" w:type="dxa"/>
            <w:vAlign w:val="bottom"/>
          </w:tcPr>
          <w:p>
            <w:pPr>
              <w:ind w:left="20"/>
              <w:spacing w:after="0" w:line="137" w:lineRule="exact"/>
              <w:rPr>
                <w:sz w:val="20"/>
                <w:szCs w:val="20"/>
                <w:color w:val="auto"/>
              </w:rPr>
            </w:pPr>
            <w:r>
              <w:rPr>
                <w:rFonts w:ascii="Arial" w:cs="Arial" w:eastAsia="Arial" w:hAnsi="Arial"/>
                <w:sz w:val="14"/>
                <w:szCs w:val="14"/>
                <w:color w:val="2C2C2C"/>
              </w:rPr>
              <w:t>Net current-period other comprehensive</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2C2C2C"/>
              </w:rPr>
              <w:t>(545 )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2C2C2C"/>
              </w:rPr>
              <w:t>(57 )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2C2C2C"/>
              </w:rPr>
              <w:t>(9 )</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2C2C2C"/>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2C2C2C"/>
              </w:rPr>
              <w:t>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color w:val="2C2C2C"/>
              </w:rPr>
              <w:t>55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2C2C2C"/>
              </w:rPr>
              <w:t>(534 )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40"/>
              <w:spacing w:after="0"/>
              <w:rPr>
                <w:sz w:val="20"/>
                <w:szCs w:val="20"/>
                <w:color w:val="auto"/>
              </w:rPr>
            </w:pPr>
            <w:r>
              <w:rPr>
                <w:rFonts w:ascii="Arial" w:cs="Arial" w:eastAsia="Arial" w:hAnsi="Arial"/>
                <w:sz w:val="16"/>
                <w:szCs w:val="16"/>
                <w:color w:val="2C2C2C"/>
              </w:rPr>
              <w:t>—</w:t>
            </w:r>
          </w:p>
        </w:tc>
        <w:tc>
          <w:tcPr>
            <w:tcW w:w="0" w:type="dxa"/>
            <w:vAlign w:val="bottom"/>
          </w:tcPr>
          <w:p>
            <w:pPr>
              <w:spacing w:after="0"/>
              <w:rPr>
                <w:sz w:val="1"/>
                <w:szCs w:val="1"/>
                <w:color w:val="auto"/>
              </w:rPr>
            </w:pPr>
          </w:p>
        </w:tc>
      </w:tr>
      <w:tr>
        <w:trPr>
          <w:trHeight w:val="167"/>
        </w:trPr>
        <w:tc>
          <w:tcPr>
            <w:tcW w:w="3860" w:type="dxa"/>
            <w:vAlign w:val="bottom"/>
          </w:tcPr>
          <w:p>
            <w:pPr>
              <w:ind w:left="120"/>
              <w:spacing w:after="0"/>
              <w:rPr>
                <w:sz w:val="20"/>
                <w:szCs w:val="20"/>
                <w:color w:val="auto"/>
              </w:rPr>
            </w:pPr>
            <w:r>
              <w:rPr>
                <w:rFonts w:ascii="Arial" w:cs="Arial" w:eastAsia="Arial" w:hAnsi="Arial"/>
                <w:sz w:val="14"/>
                <w:szCs w:val="14"/>
                <w:color w:val="2C2C2C"/>
              </w:rPr>
              <w:t>(loss)/income</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2C2C2C"/>
              </w:rPr>
              <w:t>Balance at September 30, 2022 and 2021, respectively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2C2C2C"/>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rPr>
              <w:t>(1,034 )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rPr>
              <w:t>(457 )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w w:val="89"/>
              </w:rPr>
              <w:t>$</w:t>
            </w:r>
          </w:p>
        </w:tc>
        <w:tc>
          <w:tcPr>
            <w:tcW w:w="7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2C2C2C"/>
                <w:w w:val="89"/>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2C2C2C"/>
                <w:w w:val="89"/>
              </w:rPr>
              <w:t>11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w w:val="8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rPr>
              <w:t>(1,688 )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2C2C2C"/>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rPr>
              <w:t>(1,913 )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2C2C2C"/>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rPr>
              <w:t>(2,720 )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w w:val="8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rPr>
              <w:t>(2,359 )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-1437640</wp:posOffset>
            </wp:positionV>
            <wp:extent cx="76835" cy="162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-1437640</wp:posOffset>
            </wp:positionV>
            <wp:extent cx="76835" cy="162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-1437640</wp:posOffset>
            </wp:positionV>
            <wp:extent cx="76835"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-1437640</wp:posOffset>
            </wp:positionV>
            <wp:extent cx="68580" cy="162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-1437640</wp:posOffset>
            </wp:positionV>
            <wp:extent cx="68580" cy="162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-1437640</wp:posOffset>
            </wp:positionV>
            <wp:extent cx="68580" cy="162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-1437640</wp:posOffset>
            </wp:positionV>
            <wp:extent cx="68580" cy="162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-367665</wp:posOffset>
            </wp:positionV>
            <wp:extent cx="76835" cy="2139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-367665</wp:posOffset>
            </wp:positionV>
            <wp:extent cx="76835" cy="2139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-367665</wp:posOffset>
            </wp:positionV>
            <wp:extent cx="76835" cy="2139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-367665</wp:posOffset>
            </wp:positionV>
            <wp:extent cx="68580" cy="2139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-367665</wp:posOffset>
            </wp:positionV>
            <wp:extent cx="68580" cy="2139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-367665</wp:posOffset>
            </wp:positionV>
            <wp:extent cx="68580" cy="2139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-367665</wp:posOffset>
            </wp:positionV>
            <wp:extent cx="68580" cy="2139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-24765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-7620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-24765</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-7620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-24765</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ind w:left="280" w:right="80" w:hanging="272"/>
        <w:spacing w:after="0" w:line="266" w:lineRule="auto"/>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4" w:lineRule="exact"/>
        <w:rPr>
          <w:rFonts w:ascii="Arial" w:cs="Arial" w:eastAsia="Arial" w:hAnsi="Arial"/>
          <w:sz w:val="14"/>
          <w:szCs w:val="14"/>
          <w:color w:val="auto"/>
        </w:rPr>
      </w:pPr>
    </w:p>
    <w:p>
      <w:pPr>
        <w:ind w:left="280" w:right="680" w:hanging="272"/>
        <w:spacing w:after="0" w:line="271" w:lineRule="auto"/>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Reclassification adjustments from accumulated other comprehensive loss are included in the computation of net periodic pension cost (see Note 12 — Retirement Benefits). These components are included in Other income, net in the accompanying condensed consolidated statements of comprehensive income.</w:t>
      </w:r>
    </w:p>
    <w:p>
      <w:pPr>
        <w:ind w:left="280" w:right="40" w:hanging="272"/>
        <w:spacing w:after="0" w:line="256" w:lineRule="auto"/>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reclassifications in 2021 of $44 million and $31 million of foreign currency translation and defined pension and post-retirement benefit costs, respectively, attributable to the gain on disposal of our Miller business (see Note 3 — Acquisitions and Divestitures). The net gain on disposal is included in Other income, net in the accompanying condensed consolidated statements of comprehensive income.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Basic and diluted earnings per share from continuing operations attributable to WTW and discontinued operations, net of tax are calculated by dividing net income from continuing operations attributable to WTW and discontinued operations, net of tax, respectively,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At both September 30, 2022 and 2021, there were 0.6 million restricted performance-based stock units outstanding. At September 30, 2022, there were 0.4 million restricted time-based stock units outstanding; restricted time-based stock units were immaterial at September 30, 2021. There were no performance-based options outstanding at September 30, 2022; at September 30, 2021, there were 0.3 million performance-based options outstanding. The Company’s time-based share options were immaterial at September 30, 2022; there were 0.1 million time-based share options outstanding at September 30, 2021.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Basic and diluted earnings per share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8"/>
                <w:szCs w:val="18"/>
                <w:color w:val="auto"/>
              </w:rPr>
              <w:t>Less: income attributable to non-controllable interests</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9"/>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attributable to WTW</w:t>
            </w:r>
          </w:p>
        </w:tc>
        <w:tc>
          <w:tcPr>
            <w:tcW w:w="820" w:type="dxa"/>
            <w:vAlign w:val="bottom"/>
            <w:tcBorders>
              <w:bottom w:val="single" w:sz="8" w:color="auto"/>
            </w:tcBorders>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915</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Income/(loss) from discontinued operations, net of tax</w:t>
            </w: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96"/>
        </w:trPr>
        <w:tc>
          <w:tcPr>
            <w:tcW w:w="560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average number of shares outstanding</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Dilutive effect of potentially issuable shares</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average number of shares outstanding</w:t>
            </w:r>
          </w:p>
        </w:tc>
        <w:tc>
          <w:tcPr>
            <w:tcW w:w="8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60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Basic earnings per share from continuing operations attributable</w:t>
            </w: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WTW</w:t>
            </w: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3.95</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Dilutive effect of potentially issuable shares</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(0.04 )</w:t>
            </w:r>
          </w:p>
        </w:tc>
        <w:tc>
          <w:tcPr>
            <w:tcW w:w="0" w:type="dxa"/>
            <w:vAlign w:val="bottom"/>
          </w:tcPr>
          <w:p>
            <w:pPr>
              <w:spacing w:after="0"/>
              <w:rPr>
                <w:sz w:val="1"/>
                <w:szCs w:val="1"/>
                <w:color w:val="auto"/>
              </w:rPr>
            </w:pPr>
          </w:p>
        </w:tc>
      </w:tr>
      <w:tr>
        <w:trPr>
          <w:trHeight w:val="168"/>
        </w:trPr>
        <w:tc>
          <w:tcPr>
            <w:tcW w:w="56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Diluted earnings per share from continuing operations</w:t>
            </w:r>
          </w:p>
        </w:tc>
        <w:tc>
          <w:tcPr>
            <w:tcW w:w="820" w:type="dxa"/>
            <w:vAlign w:val="bottom"/>
            <w:vMerge w:val="restart"/>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1.65</w:t>
            </w:r>
          </w:p>
        </w:tc>
        <w:tc>
          <w:tcPr>
            <w:tcW w:w="4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7.08</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3.95</w:t>
            </w:r>
          </w:p>
        </w:tc>
        <w:tc>
          <w:tcPr>
            <w:tcW w:w="4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160"/>
              <w:spacing w:after="0" w:line="189" w:lineRule="exact"/>
              <w:rPr>
                <w:sz w:val="20"/>
                <w:szCs w:val="20"/>
                <w:color w:val="auto"/>
              </w:rPr>
            </w:pPr>
            <w:r>
              <w:rPr>
                <w:rFonts w:ascii="Arial" w:cs="Arial" w:eastAsia="Arial" w:hAnsi="Arial"/>
                <w:sz w:val="18"/>
                <w:szCs w:val="18"/>
                <w:color w:val="auto"/>
              </w:rPr>
              <w:t>attributable to WTW</w:t>
            </w:r>
          </w:p>
        </w:tc>
        <w:tc>
          <w:tcPr>
            <w:tcW w:w="820" w:type="dxa"/>
            <w:vAlign w:val="bottom"/>
            <w:vMerge w:val="continue"/>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80" w:type="dxa"/>
            <w:vAlign w:val="bottom"/>
            <w:gridSpan w:val="2"/>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400" w:type="dxa"/>
            <w:vAlign w:val="bottom"/>
            <w:gridSpan w:val="2"/>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60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Basic earnings/(loss) per share from discontinued operations,</w:t>
            </w: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of tax</w:t>
            </w: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0.07</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Dilutive effect of potentially issuable shares</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56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Diluted earnings/(loss) per share from discontinued operations,</w:t>
            </w:r>
          </w:p>
        </w:tc>
        <w:tc>
          <w:tcPr>
            <w:tcW w:w="820" w:type="dxa"/>
            <w:vAlign w:val="bottom"/>
            <w:vMerge w:val="restart"/>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0.07</w:t>
            </w:r>
          </w:p>
        </w:tc>
        <w:tc>
          <w:tcPr>
            <w:tcW w:w="140" w:type="dxa"/>
            <w:vAlign w:val="bottom"/>
            <w:vMerge w:val="restart"/>
            <w:shd w:val="clear" w:color="auto" w:fill="CFF0FC"/>
          </w:tcPr>
          <w:p>
            <w:pPr>
              <w:spacing w:after="0"/>
              <w:rPr>
                <w:sz w:val="14"/>
                <w:szCs w:val="14"/>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(0.09 )</w:t>
            </w:r>
          </w:p>
        </w:tc>
        <w:tc>
          <w:tcPr>
            <w:tcW w:w="14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(0.24 )</w:t>
            </w:r>
          </w:p>
        </w:tc>
        <w:tc>
          <w:tcPr>
            <w:tcW w:w="140" w:type="dxa"/>
            <w:vAlign w:val="bottom"/>
            <w:vMerge w:val="restart"/>
            <w:shd w:val="clear" w:color="auto" w:fill="CFF0FC"/>
          </w:tcPr>
          <w:p>
            <w:pPr>
              <w:spacing w:after="0"/>
              <w:rPr>
                <w:sz w:val="14"/>
                <w:szCs w:val="14"/>
                <w:color w:val="auto"/>
              </w:rPr>
            </w:pP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shd w:val="clear" w:color="auto" w:fill="CFF0FC"/>
          </w:tcPr>
          <w:p>
            <w:pPr>
              <w:ind w:left="160"/>
              <w:spacing w:after="0" w:line="189" w:lineRule="exact"/>
              <w:rPr>
                <w:sz w:val="20"/>
                <w:szCs w:val="20"/>
                <w:color w:val="auto"/>
              </w:rPr>
            </w:pPr>
            <w:r>
              <w:rPr>
                <w:rFonts w:ascii="Arial" w:cs="Arial" w:eastAsia="Arial" w:hAnsi="Arial"/>
                <w:sz w:val="18"/>
                <w:szCs w:val="18"/>
                <w:color w:val="auto"/>
              </w:rPr>
              <w:t>net of tax</w:t>
            </w: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54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260" w:type="dxa"/>
            <w:vAlign w:val="bottom"/>
            <w:tcBorders>
              <w:bottom w:val="single" w:sz="8" w:color="auto"/>
            </w:tcBorders>
            <w:vMerge w:val="continue"/>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-2499360</wp:posOffset>
            </wp:positionV>
            <wp:extent cx="1917700"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917700" cy="16256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-2199640</wp:posOffset>
            </wp:positionV>
            <wp:extent cx="1917700" cy="162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917700" cy="16256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-1617345</wp:posOffset>
            </wp:positionV>
            <wp:extent cx="1917700" cy="162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917700" cy="16256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-821055</wp:posOffset>
            </wp:positionV>
            <wp:extent cx="1917700" cy="162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917700" cy="16256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-24765</wp:posOffset>
            </wp:positionV>
            <wp:extent cx="939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939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857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For both the three and nine months ended September 30, 2022, 0.3 million restricted stock units were not included in the computation of the dilutive effect of potentially issuable shares because their effect was anti-dilutive. For the three and nine months ended September 30, 2021, 0.4 million and 0.3 million restricted stock units, respectively, were not included in the computation of the dilutive effect of potentially issuable shares because their effect was anti-dilutive. There were no anti-dilutive options for the three and nine months ended September 30, 2022 and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Supplemental Disclosures of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regarding cash flow information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82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09"/>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1,496</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2,162</w:t>
            </w:r>
          </w:p>
        </w:tc>
      </w:tr>
      <w:tr>
        <w:trPr>
          <w:trHeight w:val="216"/>
        </w:trPr>
        <w:tc>
          <w:tcPr>
            <w:tcW w:w="8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Fiduciary funds (included in fiduciary assets)</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3,963</w:t>
            </w:r>
          </w:p>
        </w:tc>
      </w:tr>
      <w:tr>
        <w:trPr>
          <w:trHeight w:val="174"/>
        </w:trPr>
        <w:tc>
          <w:tcPr>
            <w:tcW w:w="8220" w:type="dxa"/>
            <w:vAlign w:val="bottom"/>
          </w:tcPr>
          <w:p>
            <w:pPr>
              <w:ind w:left="200"/>
              <w:spacing w:after="0" w:line="175" w:lineRule="exact"/>
              <w:rPr>
                <w:sz w:val="20"/>
                <w:szCs w:val="20"/>
                <w:color w:val="auto"/>
              </w:rPr>
            </w:pPr>
            <w:r>
              <w:rPr>
                <w:rFonts w:ascii="Arial" w:cs="Arial" w:eastAsia="Arial" w:hAnsi="Arial"/>
                <w:sz w:val="18"/>
                <w:szCs w:val="18"/>
                <w:color w:val="auto"/>
              </w:rPr>
              <w:t>Cash and cash equivalents and fiduciary funds (included in current assets held</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for sale)</w:t>
            </w:r>
          </w:p>
        </w:tc>
        <w:tc>
          <w:tcPr>
            <w:tcW w:w="8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53</w:t>
            </w:r>
          </w:p>
        </w:tc>
      </w:tr>
      <w:tr>
        <w:trPr>
          <w:trHeight w:val="216"/>
        </w:trPr>
        <w:tc>
          <w:tcPr>
            <w:tcW w:w="8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restricted cash (included in prepaids and other current assets)</w:t>
            </w:r>
          </w:p>
        </w:tc>
        <w:tc>
          <w:tcPr>
            <w:tcW w:w="8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r>
      <w:tr>
        <w:trPr>
          <w:trHeight w:val="209"/>
        </w:trPr>
        <w:tc>
          <w:tcPr>
            <w:tcW w:w="8220" w:type="dxa"/>
            <w:vAlign w:val="bottom"/>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4,671</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6,184</w:t>
            </w:r>
          </w:p>
        </w:tc>
      </w:tr>
      <w:tr>
        <w:trPr>
          <w:trHeight w:val="20"/>
        </w:trPr>
        <w:tc>
          <w:tcPr>
            <w:tcW w:w="8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8"/>
                <w:szCs w:val="18"/>
                <w:color w:val="auto"/>
              </w:rPr>
              <w:t>(Decrease)/increase in cash, cash equivalents and other restricted cash</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(2,904 )</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w:t>
            </w:r>
          </w:p>
        </w:tc>
      </w:tr>
      <w:tr>
        <w:trPr>
          <w:trHeight w:val="216"/>
        </w:trPr>
        <w:tc>
          <w:tcPr>
            <w:tcW w:w="8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Increase/(decrease) in fiduciary funds</w:t>
            </w:r>
          </w:p>
        </w:tc>
        <w:tc>
          <w:tcPr>
            <w:tcW w:w="8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(167 )</w:t>
            </w:r>
          </w:p>
        </w:tc>
      </w:tr>
      <w:tr>
        <w:trPr>
          <w:trHeight w:val="209"/>
        </w:trPr>
        <w:tc>
          <w:tcPr>
            <w:tcW w:w="8220" w:type="dxa"/>
            <w:vAlign w:val="bottom"/>
          </w:tcPr>
          <w:p>
            <w:pPr>
              <w:ind w:left="20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(2,730 )</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8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-753110</wp:posOffset>
            </wp:positionV>
            <wp:extent cx="111125"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-170815</wp:posOffset>
            </wp:positionV>
            <wp:extent cx="111125"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6"/>
          <w:szCs w:val="16"/>
          <w:i w:val="1"/>
          <w:iCs w:val="1"/>
          <w:color w:val="auto"/>
        </w:rPr>
        <w:t xml:space="preserve">Revision of previously issued financial statements </w:t>
      </w:r>
      <w:r>
        <w:rPr>
          <w:rFonts w:ascii="Arial" w:cs="Arial" w:eastAsia="Arial" w:hAnsi="Arial"/>
          <w:sz w:val="16"/>
          <w:szCs w:val="16"/>
          <w:color w:val="auto"/>
        </w:rPr>
        <w:t>- During the nine months ended September 30, 2022, to reflect the guidance on restricted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presentation in FASB ASC 230, </w:t>
      </w:r>
      <w:r>
        <w:rPr>
          <w:rFonts w:ascii="Arial" w:cs="Arial" w:eastAsia="Arial" w:hAnsi="Arial"/>
          <w:sz w:val="16"/>
          <w:szCs w:val="16"/>
          <w:i w:val="1"/>
          <w:iCs w:val="1"/>
          <w:color w:val="auto"/>
        </w:rPr>
        <w:t>Statement of Cash Flows</w:t>
      </w:r>
      <w:r>
        <w:rPr>
          <w:rFonts w:ascii="Arial" w:cs="Arial" w:eastAsia="Arial" w:hAnsi="Arial"/>
          <w:sz w:val="16"/>
          <w:szCs w:val="16"/>
          <w:color w:val="auto"/>
        </w:rPr>
        <w:t>, WTW corrected the classification of its fiduciary funds balances, in the amounts shown in the table above, on our condensed consolidated statements of cash flows, by including these amounts in the total cash, cash equivalents and restricted cash amounts held at each balance sheet date. As a result, cash, cash equivalents and restricted cash balances of $2.2 billion and $2.1 billion at September 30, 2021 and December 31, 2020, respectively, have been revised to $6.2 billion and $6.3 billion, respectively. Additionally, the effect of exchange rate changes on cash, cash equivalents and restricted cash has been updated to include the effect of exchange rate changes on the fiduciary funds balances.</w:t>
      </w:r>
    </w:p>
    <w:p>
      <w:pPr>
        <w:spacing w:after="0" w:line="15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Prior to this correction, the changes in fiduciary funds were presented in fiduciary assets and liabilities on a gross basis in the cash flows from operating activities, where the amounts fully offset each period. In the current presentation, an additional line item, net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29" w:name="page30"/>
    <w:bookmarkEnd w:id="29"/>
    <w:p>
      <w:pPr>
        <w:spacing w:after="0" w:line="302" w:lineRule="auto"/>
        <w:rPr>
          <w:sz w:val="20"/>
          <w:szCs w:val="20"/>
          <w:color w:val="auto"/>
        </w:rPr>
      </w:pPr>
      <w:r>
        <w:rPr>
          <w:rFonts w:ascii="Arial" w:cs="Arial" w:eastAsia="Arial" w:hAnsi="Arial"/>
          <w:sz w:val="16"/>
          <w:szCs w:val="16"/>
          <w:color w:val="auto"/>
        </w:rPr>
        <w:t>(payments)/proceeds from fiduciary funds held for clients, has been included within cash flows from financing activities to represent the change in fiduciary funds balances during the periods. The remaining fiduciary assets and fiduciary liabilities, in equal and offsetting amounts, are no longer presented in the cash flows from operating activities. There was no impact to the total cash flows from operating activities as a result of these changes.</w:t>
      </w:r>
    </w:p>
    <w:p>
      <w:pPr>
        <w:spacing w:after="0" w:line="11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27" w:right="7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70"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‘Non-GAAP Financial Measures’ below for further discussion of our adjusted, constant currency and organic non-GAAP financial measures.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157"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88"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modest but definite increase in pricing in the market.</w:t>
      </w:r>
    </w:p>
    <w:p>
      <w:pPr>
        <w:spacing w:after="0" w:line="117" w:lineRule="exact"/>
        <w:rPr>
          <w:sz w:val="20"/>
          <w:szCs w:val="20"/>
          <w:color w:val="auto"/>
        </w:rPr>
      </w:pPr>
    </w:p>
    <w:p>
      <w:pPr>
        <w:ind w:right="620"/>
        <w:spacing w:after="0" w:line="341" w:lineRule="auto"/>
        <w:rPr>
          <w:sz w:val="20"/>
          <w:szCs w:val="20"/>
          <w:color w:val="auto"/>
        </w:rPr>
      </w:pPr>
      <w:r>
        <w:rPr>
          <w:rFonts w:ascii="Arial" w:cs="Arial" w:eastAsia="Arial" w:hAnsi="Arial"/>
          <w:sz w:val="16"/>
          <w:szCs w:val="16"/>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5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firm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we expect this trend may continue.</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From time to time, including but not limited to the period after the announcement of the proposed Aon combination through the period that has followed the termination of the proposed combination, we have lost (and may in the future continue to lose) colleagues who manage substantial client relationships or possess substantial experience or expertise; when we lose colleagues such as those, it often results in such colleagues competing against us. Further, the full impact of this competition may be delayed due to the timing of restrictive covenants or client renewals. We believe that this dynamic, which was most pronounced in our Risk &amp; Broking segment during 2021, has caused the segment’s recent near-term and expected growth rates for the remainder of 2022 to be meaningfully slower than other competitors. This dynamic may be difficult to predict, given that the adverse impact in future periods is more significant than in the periods in which employees departed. Growth has been and will be adversely affected by the fact that 2021 performance in a number of businesses, particularly commercial risk broking and health &amp; benefits broking, benefited from revenue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31" w:name="page32"/>
    <w:bookmarkEnd w:id="31"/>
    <w:p>
      <w:pPr>
        <w:ind w:right="20"/>
        <w:spacing w:after="0" w:line="255" w:lineRule="auto"/>
        <w:rPr>
          <w:sz w:val="20"/>
          <w:szCs w:val="20"/>
          <w:color w:val="auto"/>
        </w:rPr>
      </w:pPr>
      <w:r>
        <w:rPr>
          <w:rFonts w:ascii="Arial" w:cs="Arial" w:eastAsia="Arial" w:hAnsi="Arial"/>
          <w:sz w:val="18"/>
          <w:szCs w:val="18"/>
          <w:color w:val="auto"/>
        </w:rPr>
        <w:t>from book sales, which is non-repeatable revenue. It is possible that growth could be different than expected and our results of operations could be significantly and adversely impacted. See Part I, Item 1A ‘Risk Factors’ in our Annual Report on Form 10-K, filed with the SEC on February 24, 2022, for a discussion of risks that may affect our ability to compete.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of the Economic Environment</w:t>
      </w:r>
    </w:p>
    <w:p>
      <w:pPr>
        <w:spacing w:after="0" w:line="17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Beginning with the COVID-19 pandemic, there have been adverse changes in global commercial activity, particularly in the global supply chain and workforce availability, and significant volatility in the global financial markets including, among other effects, occasional declines in the equity markets, changes in interest rates and reduced liquidity on a global basis.</w:t>
      </w:r>
    </w:p>
    <w:p>
      <w:pPr>
        <w:spacing w:after="0" w:line="14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Supply and labor market disruptions caused by COVID-19, accommodative monetary and fiscal policy and the Russian invasion of Ukraine have contributed to significant inflation in many of the markets in which we operate. This impacts not only the costs to attract and retain employees but also other costs to run and invest in our business. If our costs grow significantly in excess of our ability to raise revenue, our margins and results of operations may be materially and adversely impacted and we may not be able to achieve our strategic and financial objectives.</w:t>
      </w:r>
    </w:p>
    <w:p>
      <w:pPr>
        <w:spacing w:after="0" w:line="13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Although we believe we have adapted to the unique challenges posed by COVID-19 surrounding how and where we do our work, we are also impacted by the negative effect on workforce availability, which could hamper our ability to grow our capacity on pace with increasing demand for our services. We expect the market for talent to remain highly competitive for at least the next several months. We will continue to monitor the situation and assess any implications to our business and our stakeholders.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Following Russia Divestiture</w:t>
      </w:r>
    </w:p>
    <w:p>
      <w:pPr>
        <w:spacing w:after="0" w:line="15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the third quarter of 2022, we completed the transfer of ownership of our Russian subsidiaries to local management and, given current conditions, do not anticipate resuming operations in Russia within the foreseeable future. The Russian entities were primarily within our Risk &amp; Broking segment. We have estimated that the annualized run-rate impact from the divestiture of our Russian operations is approximately $120 million of revenue. Additionally, the Russian business was highly profitable, with operating margins in excess of double the enterprise-level margins. Because we did not receive significant proceeds in connection with the divestiture with which to reinvest in the business, the lost profits will adversely impact earnings, margins and cash flow. See ‘Disclaimer Regarding Forward-looking Statements’ and Part II, Item 1A ‘Risk Factors’ of this Quarterly Report on Form 10-Q for a discussion of the risks associated with expense actions.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Reorganization</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January 1, 2022, WTW realigned to provide its comprehensive offering of services and solutions to clients across two business segments: Health, Wealth &amp; Career and Risk &amp; Broking. These changes were made in conjunction with changes in the WTW leadership team, including the appointment of a new chief executive officer who succeeded the prior CEO as the chief operating decision maker on that date. Prior to January 1, 2022, we operated across four segments: Human Capital and Benefits; Corporate Risk and Broking; Investment, Risk and Reinsurance; and Benefits Delivery and Administration. Following the realignment, the two new segments consist of the following businesses:</w:t>
      </w:r>
    </w:p>
    <w:p>
      <w:pPr>
        <w:spacing w:after="0" w:line="62" w:lineRule="exact"/>
        <w:rPr>
          <w:sz w:val="20"/>
          <w:szCs w:val="20"/>
          <w:color w:val="auto"/>
        </w:rPr>
      </w:pPr>
    </w:p>
    <w:p>
      <w:pPr>
        <w:ind w:left="760" w:right="40" w:hanging="378"/>
        <w:spacing w:after="0" w:line="341"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Health, Wealth &amp; Career segment includes businesses previously aligned under the Human Capital and Benefits segment, the Benefits Delivery and Administration segment, and the Investment business, which was previously under the Investment, Risk and Reinsurance segment.</w:t>
      </w:r>
    </w:p>
    <w:p>
      <w:pPr>
        <w:spacing w:after="0" w:line="3" w:lineRule="exact"/>
        <w:rPr>
          <w:rFonts w:ascii="Arial" w:cs="Arial" w:eastAsia="Arial" w:hAnsi="Arial"/>
          <w:sz w:val="16"/>
          <w:szCs w:val="16"/>
          <w:color w:val="auto"/>
        </w:rPr>
      </w:pPr>
    </w:p>
    <w:p>
      <w:pPr>
        <w:ind w:left="760" w:right="240" w:hanging="378"/>
        <w:spacing w:after="0" w:line="290"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&amp; Broking segment includes businesses previously aligned under the Corporate Risk and Broking segment, as well as the Insurance Consulting and Technology business, which was previously under the Investment, Risk and Reinsurance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descriptions of our reorganized segments: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Wealth &amp; Career</w:t>
      </w:r>
    </w:p>
    <w:p>
      <w:pPr>
        <w:spacing w:after="0" w:line="157"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 the interrelated challenges that the management teams of our clients face across human resources (‘HR’) and finance.</w:t>
      </w:r>
    </w:p>
    <w:p>
      <w:pPr>
        <w:spacing w:after="0" w:line="12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9"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Health</w:t>
      </w:r>
    </w:p>
    <w:p>
      <w:pPr>
        <w:spacing w:after="0" w:line="17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Health &amp; Benefits (‘H&amp;B’) business provides strategy and design consulting, plan management service and support, broking and administration across the full spectrum of health, wellbeing and other group benefit programs, including medical, dental, disability, life, voluntary benefits and other coverage. Our reach extends from small/mid-market clients to large-market and multinational clients, across the full geographic footprint of the Company, and to most industries. We can address our clients’ needs in more than 140 countries.</w:t>
      </w:r>
    </w:p>
    <w:p>
      <w:pPr>
        <w:spacing w:after="0" w:line="129"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Our consultants help clients make strategic decisions on topics such as optimizing program spend; evaluating emerging vendors, point solutions and coverage options (including publicly-subsidized health insurance exchanges and private exchanges in the U.S.); and dealing with above-inflation-rate increases in healthcare costs. We also assist clients in selecting the appropriate insurance carriers to cover benefit risks and administer the programs. In addition to our consulting and broking services, we manage a number of collective purchasing initiatives, such as pharmacy and stop-loss, that allow employers to realize greater value from third-party service providers than they can achieve on their own.</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 Global Benefits Management, our suite of global services supporting medical, dental and risk (e.g., life, disability) programs, we have a tailored offering for multinationals. This offering includes a flexible set of ready-made solutions, proven technology and an integrated approach to service delivery that translates to a globally consistent, high-quality experience for our clients.</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meaningful portion of revenue in this business is from recurring work, though contracts may be annual or multi-year. Given the balance of revenue across consulting, broking and solutions, our revenue is somewhat weighted to the first quarter.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8"/>
          <w:szCs w:val="18"/>
          <w:i w:val="1"/>
          <w:iCs w:val="1"/>
          <w:color w:val="auto"/>
        </w:rPr>
        <w:t>ealth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wealth-related businesses include Retirement and Investment.</w:t>
      </w:r>
    </w:p>
    <w:p>
      <w:pPr>
        <w:spacing w:after="0" w:line="17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Retirement business provides actuarial support, plan design, and administrative services for all forms of pension and retirement savings plans. Our colleagues help our clients assess the costs and risks of retirement plans on cash flow, earnings and the balance sheet, the effects of changing workforce demographics on their retirement plans, and retiree benefit adequacy and security. We offer clients a full range of integrated retirement consulting services and solutions to meet the needs of all types of employers, including those that continue to offer defined benefit plans and those that are reexamining their retirement benefit strategies. We help multinationals coordinate plan design and actuarial services across their complex global plans. We bring in-depth data analysis and perspective to their decision process, because we have tracked the retirement designs and financing strategies of companies around the world over many decades.</w:t>
      </w:r>
    </w:p>
    <w:p>
      <w:pPr>
        <w:spacing w:after="0" w:line="132"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For clients that want to outsource some or all of their pension plan management, we offer broking services, as well as integrated solutions that can combine investment discretionary management, pension administration, core actuarial services, and communication and change management assistance.</w:t>
      </w:r>
    </w:p>
    <w:p>
      <w:pPr>
        <w:spacing w:after="0" w:line="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Retirement relationships are generally long-term in nature, and client retention rates for this business are high. A significant portion of the revenue in this business is from recurring work, with multi-year contracts that are driven by the heavily regulated nature of pension plans and our clients’ annual needs for these services. Revenue for the Retirement business in some geographies is somewhat seasonal, as much of our work pertains to calendar-year plan administration, financing, reporting and compliance; thus, revenue is typically more weighted to the first and fourth quarters of the fiscal year.</w:t>
      </w:r>
    </w:p>
    <w:p>
      <w:pPr>
        <w:spacing w:after="0" w:line="11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Our Investment business provides advice and discretionary investment management solutions to defined benefit and defined contribution pension plans as well as to a range of other client types including insurers, endowments and foundations, and private wealth investors. We provide a solution to a significant business problem faced by our clients, namely sustaining the resources and skills required to deliver a financial services product in highly competitive capital markets. We offer a flexible approach that adapts to a wide range of client needs and circumstances, with the objective of higher returns, lower risk and lower costs within each client’s unique situation.</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solutions range from single asset class activity, through complete management of entire pension plan assets including sophisticated liability hedging programs.</w:t>
      </w:r>
    </w:p>
    <w:p>
      <w:pPr>
        <w:spacing w:after="0" w:line="102"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We bring together a broad array of specialist investment knowledge and skills across all asset classes, a high-quality execution platform, a cost advantage through our scale, and expert advisors with experience across all client types from the largest plans in the world to small corporate pension plans.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long-term relationships with our Investment clients, with the majority of our revenue driven by retainer contracts.</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Career</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Our career-related offerings include advice, data, software and products to address clients’ total rewards and talent issues across the globe delivered through our </w:t>
      </w:r>
      <w:r>
        <w:rPr>
          <w:rFonts w:ascii="Arial" w:cs="Arial" w:eastAsia="Arial" w:hAnsi="Arial"/>
          <w:sz w:val="18"/>
          <w:szCs w:val="18"/>
          <w:i w:val="1"/>
          <w:iCs w:val="1"/>
          <w:color w:val="auto"/>
        </w:rPr>
        <w:t>Work &amp; Rewards</w:t>
      </w:r>
      <w:r>
        <w:rPr>
          <w:rFonts w:ascii="Arial" w:cs="Arial" w:eastAsia="Arial" w:hAnsi="Arial"/>
          <w:sz w:val="18"/>
          <w:szCs w:val="18"/>
          <w:color w:val="auto"/>
        </w:rPr>
        <w:t xml:space="preserve"> and </w:t>
      </w:r>
      <w:r>
        <w:rPr>
          <w:rFonts w:ascii="Arial" w:cs="Arial" w:eastAsia="Arial" w:hAnsi="Arial"/>
          <w:sz w:val="18"/>
          <w:szCs w:val="18"/>
          <w:i w:val="1"/>
          <w:iCs w:val="1"/>
          <w:color w:val="auto"/>
        </w:rPr>
        <w:t>Employee Experience</w:t>
      </w:r>
      <w:r>
        <w:rPr>
          <w:rFonts w:ascii="Arial" w:cs="Arial" w:eastAsia="Arial" w:hAnsi="Arial"/>
          <w:sz w:val="18"/>
          <w:szCs w:val="18"/>
          <w:color w:val="auto"/>
        </w:rPr>
        <w:t xml:space="preserve"> businesses.</w:t>
      </w:r>
    </w:p>
    <w:p>
      <w:pPr>
        <w:spacing w:after="0" w:line="116"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Within our Work &amp; Rewards business, we help clients determine the best ways to get work done, the skills needed for jobs, and how to reward it. We address executive compensation and broad-based rewards. We advise our clients’ management and boards of directors on all aspects of executive pay programs, including base pay, annual bonuses, long-term incentives, perquisites and other benefits. Our focus is on aligning pay plans with an organization’s business strategy and driving desired performance. Our solutions incorporate proprietary market benchmarking data and software to support compensation administration.</w:t>
      </w:r>
    </w:p>
    <w:p>
      <w:pPr>
        <w:spacing w:after="0" w:line="12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Our Employee Experience business focuses on the provision of solutions including employee insight and listening tools, talent assessment tools and services, communication and change management services.</w:t>
      </w:r>
    </w:p>
    <w:p>
      <w:pPr>
        <w:spacing w:after="0" w:line="11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Revenue for our career-related businesses is partly seasonal in nature, with heightened activity in the second half of the calendar year during the annual compensation, benefits, and survey cycles. While these businesses enjoy long-term relationships with many clients, work in several practices is often project-based and can be sensitive to economic changes. The businesses benefit from regulatory changes affecting our clients that require strategic advice, program changes and communication, as well as the focus on ESG as a component of executive and board pay, the redefinition of jobs, work location and career paths as technology disaggregates work, and the recalibration of pay and the employee experience amidst shifting labor markets.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Delivery &amp; Outsourcing</w:t>
      </w:r>
    </w:p>
    <w:p>
      <w:pPr>
        <w:spacing w:after="0" w:line="1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Benefits Delivery &amp; Outsourcing businesses include Benefits Delivery &amp; Administration (‘BDA’) and Technology and Administration Solutions (‘TAS’).</w:t>
      </w:r>
    </w:p>
    <w:p>
      <w:pPr>
        <w:spacing w:after="0" w:line="10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BDA business provides primary medical and ancillary benefit exchange and outsourcing services to active employees and retirees across both the group and individual markets, primarily in the U.S.</w:t>
      </w:r>
    </w:p>
    <w:p>
      <w:pPr>
        <w:spacing w:after="0" w:line="13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 significant portion of the revenue in this business is recurring in nature, driven by either the commissions from the policies we sell, or from long-term service contracts with our clients that typically range from three to five years. Revenue across this business is seasonal and is generally higher in the fourth quarter as it is driven when typical annual enrollment activity occurs.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BDA provides services via two related offerings:</w:t>
      </w:r>
    </w:p>
    <w:p>
      <w:pPr>
        <w:spacing w:after="0" w:line="1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Benefits Outsourcing </w:t>
      </w:r>
      <w:r>
        <w:rPr>
          <w:rFonts w:ascii="Arial" w:cs="Arial" w:eastAsia="Arial" w:hAnsi="Arial"/>
          <w:sz w:val="16"/>
          <w:szCs w:val="16"/>
          <w:color w:val="auto"/>
        </w:rPr>
        <w:t>is focused on serving active employee groups for clients across the U.S. Working closely with other HWC businesses, we use our</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technology to provide a suite of health and welfare and pension administration outsourcing services, including tools to enable benefit modeling, decision support, enrollment and benefit choice. Drawing on expertise in H&amp;B and Retirement to create high-performing benefit plan designs, we believe we are well-positioned to help clients of all sizes simplify their benefits delivery, while lowering the total costs of benefits and related administration.</w:t>
      </w:r>
    </w:p>
    <w:p>
      <w:pPr>
        <w:spacing w:after="0" w:line="98"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Individual Marketplace </w:t>
      </w:r>
      <w:r>
        <w:rPr>
          <w:rFonts w:ascii="Arial" w:cs="Arial" w:eastAsia="Arial" w:hAnsi="Arial"/>
          <w:sz w:val="17"/>
          <w:szCs w:val="17"/>
          <w:color w:val="auto"/>
        </w:rPr>
        <w:t>offers decision support processes and tools to connect consumers with insurance carriers in private individual and Medicare</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Individual Marketplace serves both employer-based and direct-to-consumer populations through its end-to-end consumer acquisition and engagement platforms, which tightly integrate call routing technology, an efficient quoting and enrollment engine, a customer relations management system and deep links with insurance carriers. By leveraging its multiple distribution channels and diverse product portfolio, Individual Marketplace offers solutions to a broad consumer base, helping individuals compare, purchase and use health insurance products, tools and information for life.</w:t>
      </w:r>
    </w:p>
    <w:p>
      <w:pPr>
        <w:spacing w:after="0" w:line="12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TAS business provides pension outsourcing services to hundreds of clients across multiple industries. Our TAS team focuses on clients outside of the U.S. where our services are supported by high quality administration teams using robust technology platforms. Given the nature of the work, our revenue is distributed generally evenly across the year.</w:t>
      </w:r>
    </w:p>
    <w:p>
      <w:pPr>
        <w:spacing w:after="0" w:line="1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With ongoing servicing requirements and multi-year contracts in place, we have high client retention rates. We are the leading administrator among the 200 largest pension plans in the U.K., as well as a leader in Germany.</w:t>
      </w:r>
    </w:p>
    <w:p>
      <w:pPr>
        <w:spacing w:after="0" w:line="11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For both our defined benefit and defined contribution administration services, we use highly-automated processes and technology to enable benefit plan members to access and manage their records, perform self-service functions and improve their understanding of their benefits. Our technology also provides trustees and HR teams with timely management information to monitor activity and service levels and reduce administration costs.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Risk &amp; Broking</w:t>
      </w:r>
    </w:p>
    <w:p>
      <w:pPr>
        <w:spacing w:after="0" w:line="17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Risk &amp; Broking (‘R&amp;B’) segment provides a broad range of risk advice, insurance brokerage and consulting services to clients worldwide ranging from small businesses to multinational corporations.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segment comprises two primary businesses: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Risk &amp; Broking (‘CRB’)</w:t>
      </w:r>
    </w:p>
    <w:p>
      <w:pPr>
        <w:spacing w:after="0" w:line="157"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w:t>
      </w:r>
      <w:r>
        <w:rPr>
          <w:rFonts w:ascii="Arial" w:cs="Arial" w:eastAsia="Arial" w:hAnsi="Arial"/>
          <w:sz w:val="18"/>
          <w:szCs w:val="18"/>
          <w:color w:val="auto"/>
        </w:rPr>
        <w:t>CRB’ business places more than $25 billion of premiums into the insurance markets on an annual basis, and delivers integrated global solutions tailored to client needs, underpinned by data and analytics through a balanced matrix of global lines of business across all of the Company’s three geographical areas: North America, Europe (including Great Britain) and International.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global lines of business include:</w:t>
      </w:r>
    </w:p>
    <w:p>
      <w:pPr>
        <w:spacing w:after="0" w:line="157" w:lineRule="exact"/>
        <w:rPr>
          <w:sz w:val="20"/>
          <w:szCs w:val="20"/>
          <w:color w:val="auto"/>
        </w:rPr>
      </w:pPr>
    </w:p>
    <w:p>
      <w:pPr>
        <w:jc w:val="both"/>
        <w:ind w:right="620"/>
        <w:spacing w:after="0" w:line="255" w:lineRule="auto"/>
        <w:rPr>
          <w:sz w:val="20"/>
          <w:szCs w:val="20"/>
          <w:color w:val="auto"/>
        </w:rPr>
      </w:pPr>
      <w:r>
        <w:rPr>
          <w:rFonts w:ascii="Arial" w:cs="Arial" w:eastAsia="Arial" w:hAnsi="Arial"/>
          <w:sz w:val="18"/>
          <w:szCs w:val="18"/>
          <w:i w:val="1"/>
          <w:iCs w:val="1"/>
          <w:color w:val="auto"/>
        </w:rPr>
        <w:t xml:space="preserve">Property and Casualty </w:t>
      </w:r>
      <w:r>
        <w:rPr>
          <w:rFonts w:ascii="Arial" w:cs="Arial" w:eastAsia="Arial" w:hAnsi="Arial"/>
          <w:sz w:val="18"/>
          <w:szCs w:val="18"/>
          <w:color w:val="auto"/>
        </w:rPr>
        <w:t>— Property and Casualty provides property and liability insurance brokerage services across a wide range of industries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including real estate, healthcare and retail. We also arrange insurance products and services for our affinity client partners to offer to their customers, employees, or members alongside, or in addition to, their principal business offerings.</w:t>
      </w:r>
    </w:p>
    <w:p>
      <w:pPr>
        <w:spacing w:after="0" w:line="12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i w:val="1"/>
          <w:iCs w:val="1"/>
          <w:color w:val="auto"/>
        </w:rPr>
        <w:t xml:space="preserve">Aerospace </w:t>
      </w:r>
      <w:r>
        <w:rPr>
          <w:rFonts w:ascii="Arial" w:cs="Arial" w:eastAsia="Arial" w:hAnsi="Arial"/>
          <w:sz w:val="18"/>
          <w:szCs w:val="18"/>
          <w:color w:val="auto"/>
        </w:rPr>
        <w:t>— Aerospace provides specialist expertise to the aerospace and space industries. Our aerospace business provides insurance broking,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services, contractual and technical advisory expertise to aerospace clients worldwide, including the world’s leading airlines, aircraft manufacturers, air cargo handlers and other airport and general aviation companies. The specialist InSpace team is also prominent in providing insurance and risk management services to the space industry.</w:t>
      </w:r>
    </w:p>
    <w:p>
      <w:pPr>
        <w:spacing w:after="0" w:line="142"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 Our Construction business provides services that include insurance broking, claims, loss control and specialized risk advice for a wide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construction projects and activities. Clients include contractors, project owners, public entities, project managers, consultants and financiers, among others.</w:t>
      </w:r>
    </w:p>
    <w:p>
      <w:pPr>
        <w:spacing w:after="0" w:line="143"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i w:val="1"/>
          <w:iCs w:val="1"/>
          <w:color w:val="auto"/>
        </w:rPr>
        <w:t xml:space="preserve">Global Markets Direct &amp; Facultative </w:t>
      </w:r>
      <w:r>
        <w:rPr>
          <w:rFonts w:ascii="Arial" w:cs="Arial" w:eastAsia="Arial" w:hAnsi="Arial"/>
          <w:sz w:val="18"/>
          <w:szCs w:val="18"/>
          <w:color w:val="auto"/>
        </w:rPr>
        <w:t>— Operating in the major wholesale reinsurance hubs across the world, including London, Bermuda, Singapore,</w:t>
      </w:r>
      <w:r>
        <w:rPr>
          <w:rFonts w:ascii="Arial" w:cs="Arial" w:eastAsia="Arial" w:hAnsi="Arial"/>
          <w:sz w:val="18"/>
          <w:szCs w:val="18"/>
          <w:i w:val="1"/>
          <w:iCs w:val="1"/>
          <w:color w:val="auto"/>
        </w:rPr>
        <w:t xml:space="preserve"> </w:t>
      </w:r>
      <w:r>
        <w:rPr>
          <w:rFonts w:ascii="Arial" w:cs="Arial" w:eastAsia="Arial" w:hAnsi="Arial"/>
          <w:sz w:val="18"/>
          <w:szCs w:val="18"/>
          <w:color w:val="auto"/>
        </w:rPr>
        <w:t>Hong Kong and Shanghai, solutions are delivered both directly to clients for the most complex property and casualty risks and as facultative reinsurance placements where we serve as an intermediary for insurance companies. Facultative solutions are provided across various classes of risk for our insurer clients, some of which may also be direct clients of WTW. The aim is to deliver optimum results for our clients by getting the right risk to the right market by the right broker, be it local, wholesale or facultative every time.</w:t>
      </w:r>
    </w:p>
    <w:p>
      <w:pPr>
        <w:spacing w:after="0" w:line="13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i w:val="1"/>
          <w:iCs w:val="1"/>
          <w:color w:val="auto"/>
        </w:rPr>
        <w:t xml:space="preserve">Financial, Executive and Professional Risks (‘FINEX’) </w:t>
      </w:r>
      <w:r>
        <w:rPr>
          <w:rFonts w:ascii="Arial" w:cs="Arial" w:eastAsia="Arial" w:hAnsi="Arial"/>
          <w:sz w:val="18"/>
          <w:szCs w:val="18"/>
          <w:color w:val="auto"/>
        </w:rPr>
        <w:t>— FINEX encompasses all financial and executive risks, delivering client solutions that range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professional liability, employment practices liability, crime, cyber and M&amp;A-related insurances to risk consulting and advisory services. Specialist teams provide risk consulting and risk transfer solutions to a broad spectrum of clients across a multitude of industries, as well as the financial and professional service sectors.</w:t>
      </w:r>
    </w:p>
    <w:p>
      <w:pPr>
        <w:spacing w:after="0" w:line="129"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i w:val="1"/>
          <w:iCs w:val="1"/>
          <w:color w:val="auto"/>
        </w:rPr>
        <w:t xml:space="preserve">Financial Solutions </w:t>
      </w:r>
      <w:r>
        <w:rPr>
          <w:rFonts w:ascii="Arial" w:cs="Arial" w:eastAsia="Arial" w:hAnsi="Arial"/>
          <w:sz w:val="18"/>
          <w:szCs w:val="18"/>
          <w:color w:val="auto"/>
        </w:rPr>
        <w:t>— Financial Solutions provides insurance broking services and specialized risk advice related to credit and political risk and crisis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terrorism, kidnap and ransom and contingency risk. Clients include international banks, leasing companies, commodity traders, export credit agencies, multinational corporations and sporting institutions.</w:t>
      </w:r>
    </w:p>
    <w:p>
      <w:pPr>
        <w:spacing w:after="0" w:line="122" w:lineRule="exact"/>
        <w:rPr>
          <w:sz w:val="20"/>
          <w:szCs w:val="20"/>
          <w:color w:val="auto"/>
        </w:rPr>
      </w:pPr>
    </w:p>
    <w:p>
      <w:pPr>
        <w:ind w:right="200"/>
        <w:spacing w:after="0" w:line="307" w:lineRule="auto"/>
        <w:rPr>
          <w:sz w:val="20"/>
          <w:szCs w:val="20"/>
          <w:color w:val="auto"/>
        </w:rPr>
      </w:pPr>
      <w:r>
        <w:rPr>
          <w:rFonts w:ascii="Arial" w:cs="Arial" w:eastAsia="Arial" w:hAnsi="Arial"/>
          <w:sz w:val="17"/>
          <w:szCs w:val="17"/>
          <w:i w:val="1"/>
          <w:iCs w:val="1"/>
          <w:color w:val="auto"/>
        </w:rPr>
        <w:t xml:space="preserve">Surety </w:t>
      </w:r>
      <w:r>
        <w:rPr>
          <w:rFonts w:ascii="Arial" w:cs="Arial" w:eastAsia="Arial" w:hAnsi="Arial"/>
          <w:sz w:val="17"/>
          <w:szCs w:val="17"/>
          <w:color w:val="auto"/>
        </w:rPr>
        <w:t>— The Global Surety team provides expertise in placing bonds across all industries and around the world. A surety bond is a financial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guarantees contractual performance, statutory compliance, and financial assurance for domestic and international companies.</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Marine </w:t>
      </w:r>
      <w:r>
        <w:rPr>
          <w:rFonts w:ascii="Arial" w:cs="Arial" w:eastAsia="Arial" w:hAnsi="Arial"/>
          <w:sz w:val="16"/>
          <w:szCs w:val="16"/>
          <w:color w:val="auto"/>
        </w:rPr>
        <w:t>— Marine provides specialist expertise to the maritime and logistics industries. Our Marine business provides insurance broking services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hull and machinery, cargo, protection and indemnity, fine art and general marine liabilities, among others. Our Marine clients include, but are not limited to, ship owners and operators, shipbuilders, logistics operations, port authorities, traders, shippers, exhibitors and secure transport companies.</w:t>
      </w:r>
    </w:p>
    <w:p>
      <w:pPr>
        <w:spacing w:after="0" w:line="8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Natural Resources </w:t>
      </w:r>
      <w:r>
        <w:rPr>
          <w:rFonts w:ascii="Arial" w:cs="Arial" w:eastAsia="Arial" w:hAnsi="Arial"/>
          <w:sz w:val="18"/>
          <w:szCs w:val="18"/>
          <w:color w:val="auto"/>
        </w:rPr>
        <w:t>— Our Natural Resources practice encompasses the oil, gas and chemicals, mining and metals, power and utilities and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sectors. It provides sector-specific risk transfer solutions and insights, which include insurance broking, risk engineering, contractual reviews, wording analysis and claims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Consulting and Technology (‘ICT’)</w:t>
      </w:r>
    </w:p>
    <w:p>
      <w:pPr>
        <w:spacing w:after="0" w:line="15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ICT is a global business that provides advice and technology solutions to the insurance industry. We leverage our industry experience, strategic perspective and analytical skills to help clients measure and manage risk and capital, improve business performance and create a sustainable competitive advantage. Our services include software and technology, risk and capital management, products and product pricing, financial and regulatory reporting, financial and capital modeling, M&amp;A, outsourcing and business management.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Transformation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2021, we initiated a three-year ‘Transformation program’ designed to enhance operations, optimize technology and align our real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estate footprint to our new ways of working. During the third quarter of 2022, we revised the expected costs and savings under the program and we now</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expect the program to generate annual cost savings in excess of $360 million by the end of 2024. The program is expected to incur cumulative costs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$630 million and capital expenditures of approximately $270 million, for a total investment of $900 million. The main categories of charges will be in 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following four areas:</w:t>
      </w:r>
    </w:p>
    <w:p>
      <w:pPr>
        <w:spacing w:after="0" w:line="87" w:lineRule="exact"/>
        <w:rPr>
          <w:sz w:val="20"/>
          <w:szCs w:val="20"/>
          <w:color w:val="auto"/>
        </w:rPr>
      </w:pPr>
    </w:p>
    <w:p>
      <w:pPr>
        <w:ind w:left="760" w:right="32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 estate rationalization — includes costs to align the real estate footprint to the new ways of working (hybrid work) and includes breakage fees and the impairment of right-of-use assets and other related leasehold assets.</w:t>
      </w:r>
    </w:p>
    <w:p>
      <w:pPr>
        <w:spacing w:after="0" w:line="48" w:lineRule="exact"/>
        <w:rPr>
          <w:rFonts w:ascii="Arial" w:cs="Arial" w:eastAsia="Arial" w:hAnsi="Arial"/>
          <w:sz w:val="18"/>
          <w:szCs w:val="18"/>
          <w:color w:val="auto"/>
        </w:rPr>
      </w:pPr>
    </w:p>
    <w:p>
      <w:pPr>
        <w:jc w:val="both"/>
        <w:ind w:left="760" w:hanging="378"/>
        <w:spacing w:after="0" w:line="255"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68" w:lineRule="exact"/>
        <w:rPr>
          <w:rFonts w:ascii="Arial" w:cs="Arial" w:eastAsia="Arial" w:hAnsi="Arial"/>
          <w:sz w:val="18"/>
          <w:szCs w:val="18"/>
          <w:color w:val="auto"/>
        </w:rPr>
      </w:pPr>
    </w:p>
    <w:p>
      <w:pPr>
        <w:ind w:left="760" w:right="20" w:hanging="378"/>
        <w:spacing w:after="0" w:line="24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89"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 other costs not included above including fees for professional services, other contract terminations not related to the above categories and supplier migration costs.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Certain costs under the Transformation program are accounted for under ASC 420, </w:t>
      </w:r>
      <w:r>
        <w:rPr>
          <w:rFonts w:ascii="Arial" w:cs="Arial" w:eastAsia="Arial" w:hAnsi="Arial"/>
          <w:sz w:val="17"/>
          <w:szCs w:val="17"/>
          <w:i w:val="1"/>
          <w:iCs w:val="1"/>
          <w:color w:val="auto"/>
        </w:rPr>
        <w:t>Exit or Disposal Cost Obligation</w:t>
      </w:r>
      <w:r>
        <w:rPr>
          <w:rFonts w:ascii="Arial" w:cs="Arial" w:eastAsia="Arial" w:hAnsi="Arial"/>
          <w:sz w:val="17"/>
          <w:szCs w:val="17"/>
          <w:color w:val="auto"/>
        </w:rPr>
        <w:t xml:space="preserve">, and are included as restructuring costs in the condensed consolidated statements of comprehensive income. For the three and nine months ended September 30, 2022, restructuring charges under our Transformation program totaled $9 million and $71 million, respectively. Other costs incurred under the Transformation program are included in transaction and transformation, net and were $42 million and $73 million for the three and nine months ended September 30, 2022, respectively. From the actions taken through the third quarter of 2022, we have identified an additional $29 million of annualized run-rate savings during the quarter due to newly-realized opportunities and incremental sources of value, and $100 million of cumulative annualized run-rate savings identified to date since the inception of the program, which savings overall are primarily </w:t>
      </w:r>
      <w:r>
        <w:rPr>
          <w:rFonts w:ascii="Arial" w:cs="Arial" w:eastAsia="Arial" w:hAnsi="Arial"/>
          <w:sz w:val="17"/>
          <w:szCs w:val="17"/>
          <w:color w:val="212121"/>
        </w:rPr>
        <w:t>attributable to the reduction of real estate and technology costs, as well as process optimization. The</w:t>
      </w:r>
      <w:r>
        <w:rPr>
          <w:rFonts w:ascii="Arial" w:cs="Arial" w:eastAsia="Arial" w:hAnsi="Arial"/>
          <w:sz w:val="17"/>
          <w:szCs w:val="17"/>
          <w:color w:val="auto"/>
        </w:rPr>
        <w:t xml:space="preserve"> </w:t>
      </w:r>
      <w:r>
        <w:rPr>
          <w:rFonts w:ascii="Arial" w:cs="Arial" w:eastAsia="Arial" w:hAnsi="Arial"/>
          <w:sz w:val="17"/>
          <w:szCs w:val="17"/>
          <w:color w:val="212121"/>
        </w:rPr>
        <w:t xml:space="preserve">benefits </w:t>
      </w:r>
      <w:r>
        <w:rPr>
          <w:rFonts w:ascii="Arial" w:cs="Arial" w:eastAsia="Arial" w:hAnsi="Arial"/>
          <w:sz w:val="17"/>
          <w:szCs w:val="17"/>
          <w:color w:val="000000"/>
        </w:rPr>
        <w:t>from the program began to be recognized during 2022.</w:t>
      </w:r>
    </w:p>
    <w:p>
      <w:pPr>
        <w:spacing w:after="0" w:line="17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For a discussion of some of the risks associated with the Transformation program, see Part I, Item 1A ‘Risk Factors’ in our Annual Report on Form 10-K, filed with the SEC on February 24, 2022.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7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table below sets forth our summarized condensed consolidated statements of comprehensive income and data as a percentage of revenue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millions, except</w:t>
            </w:r>
          </w:p>
        </w:tc>
        <w:tc>
          <w:tcPr>
            <w:tcW w:w="10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per share data)</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1,953</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100 % $</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1,973</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6,144</w:t>
            </w:r>
          </w:p>
        </w:tc>
        <w:tc>
          <w:tcPr>
            <w:tcW w:w="2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6"/>
              </w:rPr>
              <w:t>100 % $</w:t>
            </w:r>
          </w:p>
        </w:tc>
        <w:tc>
          <w:tcPr>
            <w:tcW w:w="580" w:type="dxa"/>
            <w:vAlign w:val="bottom"/>
          </w:tcPr>
          <w:p>
            <w:pPr>
              <w:jc w:val="right"/>
              <w:ind w:right="51"/>
              <w:spacing w:after="0"/>
              <w:rPr>
                <w:sz w:val="20"/>
                <w:szCs w:val="20"/>
                <w:color w:val="auto"/>
              </w:rPr>
            </w:pPr>
            <w:r>
              <w:rPr>
                <w:rFonts w:ascii="Arial" w:cs="Arial" w:eastAsia="Arial" w:hAnsi="Arial"/>
                <w:sz w:val="18"/>
                <w:szCs w:val="18"/>
                <w:color w:val="auto"/>
                <w:w w:val="93"/>
              </w:rPr>
              <w:t>6,292</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100 %</w:t>
            </w: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Costs of providing services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1,225</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63 %</w:t>
            </w:r>
          </w:p>
        </w:tc>
        <w:tc>
          <w:tcPr>
            <w:tcW w:w="18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1,255</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1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3,802</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62 %</w:t>
            </w:r>
          </w:p>
        </w:tc>
        <w:tc>
          <w:tcPr>
            <w:tcW w:w="160" w:type="dxa"/>
            <w:vAlign w:val="bottom"/>
          </w:tcPr>
          <w:p>
            <w:pPr>
              <w:spacing w:after="0"/>
              <w:rPr>
                <w:sz w:val="18"/>
                <w:szCs w:val="18"/>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w w:val="93"/>
              </w:rPr>
              <w:t>3,991</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63 %</w:t>
            </w: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20 %</w:t>
            </w:r>
          </w:p>
        </w:tc>
        <w:tc>
          <w:tcPr>
            <w:tcW w:w="18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385</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1,263</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18"/>
                <w:szCs w:val="18"/>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w w:val="93"/>
              </w:rPr>
              <w:t>1,169</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8"/>
                <w:szCs w:val="18"/>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8"/>
                <w:szCs w:val="18"/>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1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40" w:type="dxa"/>
            <w:vAlign w:val="bottom"/>
            <w:gridSpan w:val="3"/>
          </w:tcPr>
          <w:p>
            <w:pPr>
              <w:jc w:val="right"/>
              <w:ind w:right="15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Transaction and transformation, net</w:t>
            </w:r>
          </w:p>
        </w:tc>
        <w:tc>
          <w:tcPr>
            <w:tcW w:w="1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(952 )</w:t>
            </w:r>
          </w:p>
        </w:tc>
        <w:tc>
          <w:tcPr>
            <w:tcW w:w="360" w:type="dxa"/>
            <w:vAlign w:val="bottom"/>
          </w:tcPr>
          <w:p>
            <w:pPr>
              <w:spacing w:after="0"/>
              <w:rPr>
                <w:sz w:val="18"/>
                <w:szCs w:val="18"/>
                <w:color w:val="auto"/>
              </w:rPr>
            </w:pPr>
          </w:p>
        </w:tc>
        <w:tc>
          <w:tcPr>
            <w:tcW w:w="740" w:type="dxa"/>
            <w:vAlign w:val="bottom"/>
            <w:gridSpan w:val="3"/>
          </w:tcPr>
          <w:p>
            <w:pPr>
              <w:jc w:val="right"/>
              <w:ind w:right="56"/>
              <w:spacing w:after="0"/>
              <w:rPr>
                <w:sz w:val="20"/>
                <w:szCs w:val="20"/>
                <w:color w:val="auto"/>
              </w:rPr>
            </w:pPr>
            <w:r>
              <w:rPr>
                <w:rFonts w:ascii="Arial" w:cs="Arial" w:eastAsia="Arial" w:hAnsi="Arial"/>
                <w:sz w:val="18"/>
                <w:szCs w:val="18"/>
                <w:color w:val="auto"/>
              </w:rPr>
              <w:t>(48 )%</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(877 )</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0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of providing services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97"/>
              </w:rPr>
              <w:t>1,799</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842</w:t>
            </w:r>
          </w:p>
        </w:tc>
        <w:tc>
          <w:tcPr>
            <w:tcW w:w="3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3"/>
              </w:rPr>
              <w:t>5,674</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93"/>
              </w:rPr>
              <w:t>4,780</w:t>
            </w:r>
          </w:p>
        </w:tc>
        <w:tc>
          <w:tcPr>
            <w:tcW w:w="3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18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1,131</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1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18"/>
                <w:szCs w:val="18"/>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w w:val="93"/>
              </w:rPr>
              <w:t>1,512</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(154 )</w:t>
            </w:r>
          </w:p>
        </w:tc>
        <w:tc>
          <w:tcPr>
            <w:tcW w:w="280" w:type="dxa"/>
            <w:vAlign w:val="bottom"/>
          </w:tcPr>
          <w:p>
            <w:pPr>
              <w:spacing w:after="0"/>
              <w:rPr>
                <w:sz w:val="18"/>
                <w:szCs w:val="18"/>
                <w:color w:val="auto"/>
              </w:rPr>
            </w:pPr>
          </w:p>
        </w:tc>
        <w:tc>
          <w:tcPr>
            <w:tcW w:w="720" w:type="dxa"/>
            <w:vAlign w:val="bottom"/>
            <w:gridSpan w:val="3"/>
          </w:tcPr>
          <w:p>
            <w:pPr>
              <w:jc w:val="right"/>
              <w:ind w:right="50"/>
              <w:spacing w:after="0"/>
              <w:rPr>
                <w:sz w:val="20"/>
                <w:szCs w:val="20"/>
                <w:color w:val="auto"/>
              </w:rPr>
            </w:pPr>
            <w:r>
              <w:rPr>
                <w:rFonts w:ascii="Arial" w:cs="Arial" w:eastAsia="Arial" w:hAnsi="Arial"/>
                <w:sz w:val="18"/>
                <w:szCs w:val="18"/>
                <w:color w:val="auto"/>
              </w:rPr>
              <w:t>(3 )%</w:t>
            </w:r>
          </w:p>
        </w:tc>
        <w:tc>
          <w:tcPr>
            <w:tcW w:w="580" w:type="dxa"/>
            <w:vAlign w:val="bottom"/>
          </w:tcPr>
          <w:p>
            <w:pPr>
              <w:jc w:val="right"/>
              <w:spacing w:after="0"/>
              <w:rPr>
                <w:sz w:val="20"/>
                <w:szCs w:val="20"/>
                <w:color w:val="auto"/>
              </w:rPr>
            </w:pPr>
            <w:r>
              <w:rPr>
                <w:rFonts w:ascii="Arial" w:cs="Arial" w:eastAsia="Arial" w:hAnsi="Arial"/>
                <w:sz w:val="18"/>
                <w:szCs w:val="18"/>
                <w:color w:val="auto"/>
              </w:rPr>
              <w:t>(161 )</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617</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r>
      <w:tr>
        <w:trPr>
          <w:trHeight w:val="168"/>
        </w:trPr>
        <w:tc>
          <w:tcPr>
            <w:tcW w:w="4760" w:type="dxa"/>
            <w:vAlign w:val="bottom"/>
          </w:tcPr>
          <w:p>
            <w:pPr>
              <w:ind w:left="20"/>
              <w:spacing w:after="0" w:line="168" w:lineRule="exact"/>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4760" w:type="dxa"/>
            <w:vAlign w:val="bottom"/>
          </w:tcPr>
          <w:p>
            <w:pPr>
              <w:ind w:left="16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9 %</w:t>
            </w:r>
          </w:p>
        </w:tc>
        <w:tc>
          <w:tcPr>
            <w:tcW w:w="18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1,186</w:t>
            </w:r>
          </w:p>
        </w:tc>
        <w:tc>
          <w:tcPr>
            <w:tcW w:w="3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16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0"/>
                <w:szCs w:val="20"/>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w w:val="93"/>
              </w:rPr>
              <w:t>1,968</w:t>
            </w:r>
          </w:p>
        </w:tc>
        <w:tc>
          <w:tcPr>
            <w:tcW w:w="3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18"/>
                <w:szCs w:val="18"/>
                <w:color w:val="auto"/>
              </w:rPr>
            </w:pPr>
          </w:p>
        </w:tc>
        <w:tc>
          <w:tcPr>
            <w:tcW w:w="840" w:type="dxa"/>
            <w:vAlign w:val="bottom"/>
            <w:gridSpan w:val="3"/>
          </w:tcPr>
          <w:p>
            <w:pPr>
              <w:jc w:val="right"/>
              <w:ind w:right="150"/>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(267 )</w:t>
            </w:r>
          </w:p>
        </w:tc>
        <w:tc>
          <w:tcPr>
            <w:tcW w:w="360" w:type="dxa"/>
            <w:vAlign w:val="bottom"/>
          </w:tcPr>
          <w:p>
            <w:pPr>
              <w:spacing w:after="0"/>
              <w:rPr>
                <w:sz w:val="18"/>
                <w:szCs w:val="18"/>
                <w:color w:val="auto"/>
              </w:rPr>
            </w:pPr>
          </w:p>
        </w:tc>
        <w:tc>
          <w:tcPr>
            <w:tcW w:w="740" w:type="dxa"/>
            <w:vAlign w:val="bottom"/>
            <w:gridSpan w:val="3"/>
          </w:tcPr>
          <w:p>
            <w:pPr>
              <w:jc w:val="right"/>
              <w:ind w:right="56"/>
              <w:spacing w:after="0"/>
              <w:rPr>
                <w:sz w:val="20"/>
                <w:szCs w:val="20"/>
                <w:color w:val="auto"/>
              </w:rPr>
            </w:pPr>
            <w:r>
              <w:rPr>
                <w:rFonts w:ascii="Arial" w:cs="Arial" w:eastAsia="Arial" w:hAnsi="Arial"/>
                <w:sz w:val="18"/>
                <w:szCs w:val="18"/>
                <w:color w:val="auto"/>
              </w:rPr>
              <w:t>(14 )%</w:t>
            </w:r>
          </w:p>
        </w:tc>
        <w:tc>
          <w:tcPr>
            <w:tcW w:w="560" w:type="dxa"/>
            <w:vAlign w:val="bottom"/>
          </w:tcPr>
          <w:p>
            <w:pPr>
              <w:jc w:val="right"/>
              <w:spacing w:after="0"/>
              <w:rPr>
                <w:sz w:val="20"/>
                <w:szCs w:val="20"/>
                <w:color w:val="auto"/>
              </w:rPr>
            </w:pPr>
            <w:r>
              <w:rPr>
                <w:rFonts w:ascii="Arial" w:cs="Arial" w:eastAsia="Arial" w:hAnsi="Arial"/>
                <w:sz w:val="18"/>
                <w:szCs w:val="18"/>
                <w:color w:val="auto"/>
              </w:rPr>
              <w:t>(63 )</w:t>
            </w:r>
          </w:p>
        </w:tc>
        <w:tc>
          <w:tcPr>
            <w:tcW w:w="280" w:type="dxa"/>
            <w:vAlign w:val="bottom"/>
          </w:tcPr>
          <w:p>
            <w:pPr>
              <w:spacing w:after="0"/>
              <w:rPr>
                <w:sz w:val="18"/>
                <w:szCs w:val="18"/>
                <w:color w:val="auto"/>
              </w:rPr>
            </w:pPr>
          </w:p>
        </w:tc>
        <w:tc>
          <w:tcPr>
            <w:tcW w:w="720" w:type="dxa"/>
            <w:vAlign w:val="bottom"/>
            <w:gridSpan w:val="3"/>
          </w:tcPr>
          <w:p>
            <w:pPr>
              <w:jc w:val="right"/>
              <w:ind w:right="50"/>
              <w:spacing w:after="0"/>
              <w:rPr>
                <w:sz w:val="20"/>
                <w:szCs w:val="20"/>
                <w:color w:val="auto"/>
              </w:rPr>
            </w:pPr>
            <w:r>
              <w:rPr>
                <w:rFonts w:ascii="Arial" w:cs="Arial" w:eastAsia="Arial" w:hAnsi="Arial"/>
                <w:sz w:val="18"/>
                <w:szCs w:val="18"/>
                <w:color w:val="auto"/>
              </w:rPr>
              <w:t>(1 )%</w:t>
            </w:r>
          </w:p>
        </w:tc>
        <w:tc>
          <w:tcPr>
            <w:tcW w:w="580" w:type="dxa"/>
            <w:vAlign w:val="bottom"/>
          </w:tcPr>
          <w:p>
            <w:pPr>
              <w:jc w:val="right"/>
              <w:spacing w:after="0"/>
              <w:rPr>
                <w:sz w:val="20"/>
                <w:szCs w:val="20"/>
                <w:color w:val="auto"/>
              </w:rPr>
            </w:pPr>
            <w:r>
              <w:rPr>
                <w:rFonts w:ascii="Arial" w:cs="Arial" w:eastAsia="Arial" w:hAnsi="Arial"/>
                <w:sz w:val="18"/>
                <w:szCs w:val="18"/>
                <w:color w:val="auto"/>
              </w:rPr>
              <w:t>(386 )</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9 %</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919</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458</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3"/>
              </w:rPr>
              <w:t>1,582</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r>
      <w:tr>
        <w:trPr>
          <w:trHeight w:val="174"/>
        </w:trPr>
        <w:tc>
          <w:tcPr>
            <w:tcW w:w="4760" w:type="dxa"/>
            <w:vAlign w:val="bottom"/>
          </w:tcPr>
          <w:p>
            <w:pPr>
              <w:ind w:left="20"/>
              <w:spacing w:after="0" w:line="175" w:lineRule="exact"/>
              <w:rPr>
                <w:sz w:val="20"/>
                <w:szCs w:val="20"/>
                <w:color w:val="auto"/>
              </w:rPr>
            </w:pPr>
            <w:r>
              <w:rPr>
                <w:rFonts w:ascii="Arial" w:cs="Arial" w:eastAsia="Arial" w:hAnsi="Arial"/>
                <w:sz w:val="18"/>
                <w:szCs w:val="18"/>
                <w:color w:val="auto"/>
              </w:rPr>
              <w:t>INCOME/(LOSS) FROM DISCONTINUED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760" w:type="dxa"/>
            <w:vAlign w:val="bottom"/>
          </w:tcPr>
          <w:p>
            <w:pPr>
              <w:ind w:left="160"/>
              <w:spacing w:after="0"/>
              <w:rPr>
                <w:sz w:val="20"/>
                <w:szCs w:val="20"/>
                <w:color w:val="auto"/>
              </w:rPr>
            </w:pPr>
            <w:r>
              <w:rPr>
                <w:rFonts w:ascii="Arial" w:cs="Arial" w:eastAsia="Arial" w:hAnsi="Arial"/>
                <w:sz w:val="18"/>
                <w:szCs w:val="18"/>
                <w:color w:val="auto"/>
              </w:rPr>
              <w:t>OPERATIONS, NET OF TAX</w:t>
            </w:r>
          </w:p>
        </w:tc>
        <w:tc>
          <w:tcPr>
            <w:tcW w:w="16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840" w:type="dxa"/>
            <w:vAlign w:val="bottom"/>
            <w:gridSpan w:val="3"/>
          </w:tcPr>
          <w:p>
            <w:pPr>
              <w:jc w:val="right"/>
              <w:ind w:right="150"/>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(12 )</w:t>
            </w:r>
          </w:p>
        </w:tc>
        <w:tc>
          <w:tcPr>
            <w:tcW w:w="360" w:type="dxa"/>
            <w:vAlign w:val="bottom"/>
          </w:tcPr>
          <w:p>
            <w:pPr>
              <w:spacing w:after="0"/>
              <w:rPr>
                <w:sz w:val="20"/>
                <w:szCs w:val="20"/>
                <w:color w:val="auto"/>
              </w:rPr>
            </w:pPr>
          </w:p>
        </w:tc>
        <w:tc>
          <w:tcPr>
            <w:tcW w:w="740" w:type="dxa"/>
            <w:vAlign w:val="bottom"/>
            <w:gridSpan w:val="3"/>
          </w:tcPr>
          <w:p>
            <w:pPr>
              <w:jc w:val="right"/>
              <w:ind w:right="56"/>
              <w:spacing w:after="0"/>
              <w:rPr>
                <w:sz w:val="20"/>
                <w:szCs w:val="20"/>
                <w:color w:val="auto"/>
              </w:rPr>
            </w:pPr>
            <w:r>
              <w:rPr>
                <w:rFonts w:ascii="Arial" w:cs="Arial" w:eastAsia="Arial" w:hAnsi="Arial"/>
                <w:sz w:val="18"/>
                <w:szCs w:val="18"/>
                <w:color w:val="auto"/>
              </w:rPr>
              <w:t>(1 )%</w:t>
            </w:r>
          </w:p>
        </w:tc>
        <w:tc>
          <w:tcPr>
            <w:tcW w:w="560" w:type="dxa"/>
            <w:vAlign w:val="bottom"/>
          </w:tcPr>
          <w:p>
            <w:pPr>
              <w:jc w:val="right"/>
              <w:spacing w:after="0"/>
              <w:rPr>
                <w:sz w:val="20"/>
                <w:szCs w:val="20"/>
                <w:color w:val="auto"/>
              </w:rPr>
            </w:pPr>
            <w:r>
              <w:rPr>
                <w:rFonts w:ascii="Arial" w:cs="Arial" w:eastAsia="Arial" w:hAnsi="Arial"/>
                <w:sz w:val="18"/>
                <w:szCs w:val="18"/>
                <w:color w:val="auto"/>
              </w:rPr>
              <w:t>(27 )</w:t>
            </w:r>
          </w:p>
        </w:tc>
        <w:tc>
          <w:tcPr>
            <w:tcW w:w="280" w:type="dxa"/>
            <w:vAlign w:val="bottom"/>
          </w:tcPr>
          <w:p>
            <w:pPr>
              <w:spacing w:after="0"/>
              <w:rPr>
                <w:sz w:val="20"/>
                <w:szCs w:val="20"/>
                <w:color w:val="auto"/>
              </w:rPr>
            </w:pPr>
          </w:p>
        </w:tc>
        <w:tc>
          <w:tcPr>
            <w:tcW w:w="720" w:type="dxa"/>
            <w:vAlign w:val="bottom"/>
            <w:gridSpan w:val="3"/>
          </w:tcPr>
          <w:p>
            <w:pPr>
              <w:jc w:val="right"/>
              <w:ind w:right="110"/>
              <w:spacing w:after="0"/>
              <w:rPr>
                <w:sz w:val="20"/>
                <w:szCs w:val="20"/>
                <w:color w:val="auto"/>
              </w:rPr>
            </w:pPr>
            <w:r>
              <w:rPr>
                <w:rFonts w:ascii="Arial" w:cs="Arial" w:eastAsia="Arial" w:hAnsi="Arial"/>
                <w:sz w:val="18"/>
                <w:szCs w:val="18"/>
                <w:color w:val="auto"/>
              </w:rPr>
              <w:t>— %</w:t>
            </w: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NET INCOME ATTRIBUTABLE TO WTW</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840" w:type="dxa"/>
            <w:vAlign w:val="bottom"/>
            <w:gridSpan w:val="3"/>
          </w:tcPr>
          <w:p>
            <w:pPr>
              <w:jc w:val="right"/>
              <w:spacing w:after="0" w:line="209" w:lineRule="exact"/>
              <w:rPr>
                <w:sz w:val="20"/>
                <w:szCs w:val="20"/>
                <w:color w:val="auto"/>
              </w:rPr>
            </w:pPr>
            <w:r>
              <w:rPr>
                <w:rFonts w:ascii="Arial" w:cs="Arial" w:eastAsia="Arial" w:hAnsi="Arial"/>
                <w:sz w:val="14"/>
                <w:szCs w:val="14"/>
                <w:color w:val="auto"/>
              </w:rPr>
              <w:t xml:space="preserve">10 % </w:t>
            </w:r>
            <w:r>
              <w:rPr>
                <w:rFonts w:ascii="Arial" w:cs="Arial" w:eastAsia="Arial" w:hAnsi="Arial"/>
                <w:sz w:val="24"/>
                <w:szCs w:val="24"/>
                <w:color w:val="auto"/>
                <w:vertAlign w:val="superscript"/>
              </w:rPr>
              <w: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903</w:t>
            </w:r>
          </w:p>
        </w:tc>
        <w:tc>
          <w:tcPr>
            <w:tcW w:w="360" w:type="dxa"/>
            <w:vAlign w:val="bottom"/>
          </w:tcPr>
          <w:p>
            <w:pPr>
              <w:spacing w:after="0"/>
              <w:rPr>
                <w:sz w:val="18"/>
                <w:szCs w:val="18"/>
                <w:color w:val="auto"/>
              </w:rPr>
            </w:pPr>
          </w:p>
        </w:tc>
        <w:tc>
          <w:tcPr>
            <w:tcW w:w="740" w:type="dxa"/>
            <w:vAlign w:val="bottom"/>
            <w:gridSpan w:val="3"/>
          </w:tcPr>
          <w:p>
            <w:pPr>
              <w:jc w:val="right"/>
              <w:spacing w:after="0" w:line="209" w:lineRule="exact"/>
              <w:rPr>
                <w:sz w:val="20"/>
                <w:szCs w:val="20"/>
                <w:color w:val="auto"/>
              </w:rPr>
            </w:pPr>
            <w:r>
              <w:rPr>
                <w:rFonts w:ascii="Arial" w:cs="Arial" w:eastAsia="Arial" w:hAnsi="Arial"/>
                <w:sz w:val="14"/>
                <w:szCs w:val="14"/>
                <w:color w:val="auto"/>
              </w:rPr>
              <w:t xml:space="preserve">46 % </w:t>
            </w:r>
            <w:r>
              <w:rPr>
                <w:rFonts w:ascii="Arial" w:cs="Arial" w:eastAsia="Arial" w:hAnsi="Arial"/>
                <w:sz w:val="24"/>
                <w:szCs w:val="24"/>
                <w:color w:val="auto"/>
                <w:vertAlign w:val="superscript"/>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8"/>
                <w:szCs w:val="18"/>
                <w:color w:val="auto"/>
              </w:rPr>
            </w:pPr>
          </w:p>
        </w:tc>
        <w:tc>
          <w:tcPr>
            <w:tcW w:w="720" w:type="dxa"/>
            <w:vAlign w:val="bottom"/>
            <w:gridSpan w:val="3"/>
          </w:tcPr>
          <w:p>
            <w:pPr>
              <w:jc w:val="right"/>
              <w:spacing w:after="0" w:line="209" w:lineRule="exact"/>
              <w:rPr>
                <w:sz w:val="20"/>
                <w:szCs w:val="20"/>
                <w:color w:val="auto"/>
              </w:rPr>
            </w:pPr>
            <w:r>
              <w:rPr>
                <w:rFonts w:ascii="Arial" w:cs="Arial" w:eastAsia="Arial" w:hAnsi="Arial"/>
                <w:sz w:val="14"/>
                <w:szCs w:val="14"/>
                <w:color w:val="auto"/>
              </w:rPr>
              <w:t xml:space="preserve">7 % </w:t>
            </w:r>
            <w:r>
              <w:rPr>
                <w:rFonts w:ascii="Arial" w:cs="Arial" w:eastAsia="Arial" w:hAnsi="Arial"/>
                <w:sz w:val="24"/>
                <w:szCs w:val="24"/>
                <w:color w:val="auto"/>
                <w:vertAlign w:val="superscript"/>
              </w:rPr>
              <w:t>$</w:t>
            </w:r>
          </w:p>
        </w:tc>
        <w:tc>
          <w:tcPr>
            <w:tcW w:w="580" w:type="dxa"/>
            <w:vAlign w:val="bottom"/>
          </w:tcPr>
          <w:p>
            <w:pPr>
              <w:jc w:val="right"/>
              <w:ind w:right="51"/>
              <w:spacing w:after="0"/>
              <w:rPr>
                <w:sz w:val="20"/>
                <w:szCs w:val="20"/>
                <w:color w:val="auto"/>
              </w:rPr>
            </w:pPr>
            <w:r>
              <w:rPr>
                <w:rFonts w:ascii="Arial" w:cs="Arial" w:eastAsia="Arial" w:hAnsi="Arial"/>
                <w:sz w:val="18"/>
                <w:szCs w:val="18"/>
                <w:color w:val="auto"/>
                <w:w w:val="93"/>
              </w:rPr>
              <w:t>1,820</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r>
      <w:tr>
        <w:trPr>
          <w:trHeight w:val="20"/>
        </w:trPr>
        <w:tc>
          <w:tcPr>
            <w:tcW w:w="4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Diluted earnings per share from continuing operations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1.65</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7.08</w:t>
            </w:r>
          </w:p>
        </w:tc>
        <w:tc>
          <w:tcPr>
            <w:tcW w:w="3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w w:val="93"/>
              </w:rPr>
              <w:t>12.10</w:t>
            </w:r>
          </w:p>
        </w:tc>
        <w:tc>
          <w:tcPr>
            <w:tcW w:w="3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-2945130</wp:posOffset>
            </wp:positionV>
            <wp:extent cx="7132320" cy="419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-2114550</wp:posOffset>
            </wp:positionV>
            <wp:extent cx="713232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-1694815</wp:posOffset>
            </wp:positionV>
            <wp:extent cx="68580" cy="1454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-1694815</wp:posOffset>
            </wp:positionV>
            <wp:extent cx="2568575" cy="2825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68575"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2571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-864235</wp:posOffset>
            </wp:positionV>
            <wp:extent cx="713232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3079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30797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596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596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-24765</wp:posOffset>
            </wp:positionV>
            <wp:extent cx="596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-7620</wp:posOffset>
            </wp:positionV>
            <wp:extent cx="596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(Continuing Operations)</w:t>
      </w:r>
    </w:p>
    <w:p>
      <w:pPr>
        <w:spacing w:after="0" w:line="16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Revenue for both the three months ended September 30, 2022 and 2021 was $2.0 billion, a decrease of $20 million, or 1%, on an as-reported basis. Adjusting for the impacts of foreign currency and acquisitions and disposals, our organic revenue growth was 6% for the three months ended September 30, 2022. Revenue for the nine months ended September 30, 2022 was $6.1 billion, compared to $6.3 billion for the nine months ended September 30, 2021, a decrease of $148 million, or 2%, on an as-reported basis. Adjusting for the impacts of foreign currency and acquisitions and disposals, our organic revenue growth was 3% for the nine months ended September 30, 2022. The increases in organic revenue were driven by both segments.</w:t>
      </w:r>
    </w:p>
    <w:p>
      <w:pPr>
        <w:spacing w:after="0" w:line="11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Our revenue can be materially impacted by changes in currency conversions, which can fluctuate significantly over the course of a calendar year. For the three months ended September 30, 2022, currency translation decreased our consolidated revenue by $100 million. For the nine months ended September 30, 2022, currency translation decreased our consolidated revenue by $239 million. The primary currencies driving these changes were the Euro and Pound sterling.</w:t>
      </w:r>
    </w:p>
    <w:p>
      <w:pPr>
        <w:spacing w:after="0" w:line="1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table details our top five markets based on the percentage of consolidated revenue (in U.S. dollars) from the countries where work was performed for the nine months ended September 30, 2022. These figures do not represent the currency of the related revenue, which is presented in the next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Region</w:t>
            </w:r>
          </w:p>
        </w:tc>
        <w:tc>
          <w:tcPr>
            <w:tcW w:w="5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 of Revenue</w:t>
            </w:r>
          </w:p>
        </w:tc>
        <w:tc>
          <w:tcPr>
            <w:tcW w:w="60" w:type="dxa"/>
            <w:vAlign w:val="bottom"/>
          </w:tcPr>
          <w:p>
            <w:pPr>
              <w:spacing w:after="0"/>
              <w:rPr>
                <w:sz w:val="16"/>
                <w:szCs w:val="16"/>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7920" w:type="dxa"/>
            <w:vAlign w:val="bottom"/>
            <w:gridSpan w:val="4"/>
          </w:tcPr>
          <w:p>
            <w:pPr>
              <w:jc w:val="right"/>
              <w:spacing w:after="0"/>
              <w:rPr>
                <w:sz w:val="20"/>
                <w:szCs w:val="20"/>
                <w:color w:val="auto"/>
              </w:rPr>
            </w:pPr>
            <w:r>
              <w:rPr>
                <w:rFonts w:ascii="Arial" w:cs="Arial" w:eastAsia="Arial" w:hAnsi="Arial"/>
                <w:sz w:val="18"/>
                <w:szCs w:val="18"/>
                <w:color w:val="auto"/>
              </w:rPr>
              <w:t>19 %</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France</w:t>
            </w:r>
          </w:p>
        </w:tc>
        <w:tc>
          <w:tcPr>
            <w:tcW w:w="7920" w:type="dxa"/>
            <w:vAlign w:val="bottom"/>
            <w:gridSpan w:val="4"/>
          </w:tcPr>
          <w:p>
            <w:pPr>
              <w:jc w:val="right"/>
              <w:spacing w:after="0"/>
              <w:rPr>
                <w:sz w:val="20"/>
                <w:szCs w:val="20"/>
                <w:color w:val="auto"/>
              </w:rPr>
            </w:pPr>
            <w:r>
              <w:rPr>
                <w:rFonts w:ascii="Arial" w:cs="Arial" w:eastAsia="Arial" w:hAnsi="Arial"/>
                <w:sz w:val="18"/>
                <w:szCs w:val="18"/>
                <w:color w:val="auto"/>
              </w:rPr>
              <w:t>5 %</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Canada</w:t>
            </w:r>
          </w:p>
        </w:tc>
        <w:tc>
          <w:tcPr>
            <w:tcW w:w="7920" w:type="dxa"/>
            <w:vAlign w:val="bottom"/>
            <w:gridSpan w:val="4"/>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Germany</w:t>
            </w:r>
          </w:p>
        </w:tc>
        <w:tc>
          <w:tcPr>
            <w:tcW w:w="7920" w:type="dxa"/>
            <w:vAlign w:val="bottom"/>
            <w:gridSpan w:val="4"/>
          </w:tcPr>
          <w:p>
            <w:pPr>
              <w:jc w:val="right"/>
              <w:spacing w:after="0"/>
              <w:rPr>
                <w:sz w:val="20"/>
                <w:szCs w:val="20"/>
                <w:color w:val="auto"/>
              </w:rPr>
            </w:pPr>
            <w:r>
              <w:rPr>
                <w:rFonts w:ascii="Arial" w:cs="Arial" w:eastAsia="Arial" w:hAnsi="Arial"/>
                <w:sz w:val="18"/>
                <w:szCs w:val="18"/>
                <w:color w:val="auto"/>
              </w:rPr>
              <w:t>3 %</w:t>
            </w:r>
          </w:p>
        </w:tc>
      </w:tr>
      <w:tr>
        <w:trPr>
          <w:trHeight w:val="607"/>
        </w:trPr>
        <w:tc>
          <w:tcPr>
            <w:tcW w:w="3380" w:type="dxa"/>
            <w:vAlign w:val="bottom"/>
          </w:tcPr>
          <w:p>
            <w:pPr>
              <w:spacing w:after="0"/>
              <w:rPr>
                <w:sz w:val="24"/>
                <w:szCs w:val="24"/>
                <w:color w:val="auto"/>
              </w:rPr>
            </w:pPr>
          </w:p>
        </w:tc>
        <w:tc>
          <w:tcPr>
            <w:tcW w:w="5560" w:type="dxa"/>
            <w:vAlign w:val="bottom"/>
          </w:tcPr>
          <w:p>
            <w:pPr>
              <w:jc w:val="right"/>
              <w:ind w:right="313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380" w:type="dxa"/>
            <w:vAlign w:val="bottom"/>
            <w:tcBorders>
              <w:bottom w:val="single" w:sz="8" w:color="9A9A9A"/>
            </w:tcBorders>
          </w:tcPr>
          <w:p>
            <w:pPr>
              <w:spacing w:after="0"/>
              <w:rPr>
                <w:sz w:val="8"/>
                <w:szCs w:val="8"/>
                <w:color w:val="auto"/>
              </w:rPr>
            </w:pPr>
          </w:p>
        </w:tc>
        <w:tc>
          <w:tcPr>
            <w:tcW w:w="5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-1146810</wp:posOffset>
            </wp:positionV>
            <wp:extent cx="7132320" cy="1371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132320"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85" w:right="239" w:bottom="1440" w:gutter="0" w:footer="0" w:header="0"/>
        </w:sectPr>
      </w:pPr>
    </w:p>
    <w:bookmarkStart w:id="37" w:name="page38"/>
    <w:bookmarkEnd w:id="37"/>
    <w:p>
      <w:pPr>
        <w:ind w:right="180"/>
        <w:spacing w:after="0" w:line="277" w:lineRule="auto"/>
        <w:rPr>
          <w:sz w:val="20"/>
          <w:szCs w:val="20"/>
          <w:color w:val="auto"/>
        </w:rPr>
      </w:pPr>
      <w:r>
        <w:rPr>
          <w:rFonts w:ascii="Arial" w:cs="Arial" w:eastAsia="Arial" w:hAnsi="Arial"/>
          <w:sz w:val="18"/>
          <w:szCs w:val="18"/>
          <w:color w:val="auto"/>
        </w:rPr>
        <w:t>The table below details the approximate percentage of our revenue and expenses from continuing operations by transactional currency for the nine months ended September 30,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Transactional Currency</w:t>
            </w:r>
          </w:p>
        </w:tc>
        <w:tc>
          <w:tcPr>
            <w:tcW w:w="120" w:type="dxa"/>
            <w:vAlign w:val="bottom"/>
          </w:tcPr>
          <w:p>
            <w:pPr>
              <w:spacing w:after="0"/>
              <w:rPr>
                <w:sz w:val="18"/>
                <w:szCs w:val="18"/>
                <w:color w:val="auto"/>
              </w:rPr>
            </w:pPr>
          </w:p>
        </w:tc>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8"/>
                <w:szCs w:val="18"/>
                <w:color w:val="auto"/>
              </w:rPr>
            </w:pP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9"/>
                <w:szCs w:val="19"/>
                <w:b w:val="1"/>
                <w:bCs w:val="1"/>
                <w:color w:val="auto"/>
                <w:vertAlign w:val="superscript"/>
              </w:rPr>
              <w:t>(i)</w:t>
            </w:r>
          </w:p>
        </w:tc>
        <w:tc>
          <w:tcPr>
            <w:tcW w:w="60" w:type="dxa"/>
            <w:vAlign w:val="bottom"/>
          </w:tcPr>
          <w:p>
            <w:pPr>
              <w:spacing w:after="0"/>
              <w:rPr>
                <w:sz w:val="18"/>
                <w:szCs w:val="18"/>
                <w:color w:val="auto"/>
              </w:rPr>
            </w:pPr>
          </w:p>
        </w:tc>
      </w:tr>
      <w:tr>
        <w:trPr>
          <w:trHeight w:val="209"/>
        </w:trPr>
        <w:tc>
          <w:tcPr>
            <w:tcW w:w="742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2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58 %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Pounds sterling</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12 %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Euro</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15 %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Other currencies</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15 %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371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9505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0" w:lineRule="exact"/>
        <w:rPr>
          <w:sz w:val="20"/>
          <w:szCs w:val="20"/>
          <w:color w:val="auto"/>
        </w:rPr>
      </w:pPr>
    </w:p>
    <w:p>
      <w:pPr>
        <w:ind w:left="280" w:right="160" w:hanging="272"/>
        <w:spacing w:after="0" w:line="272" w:lineRule="auto"/>
        <w:tabs>
          <w:tab w:leader="none" w:pos="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net.</w:t>
      </w:r>
    </w:p>
    <w:p>
      <w:pPr>
        <w:spacing w:after="0" w:line="1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following tables set forth the total revenue for the three and nine months ended September 30, 2022 and 2021 and the components of the changes in total revenue for the three and nine months ended September 30, 2022, as compared to the prior year periods. The components of the revenue change may not add due to rounding.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6"/>
            <w:vMerge w:val="restart"/>
          </w:tcPr>
          <w:p>
            <w:pPr>
              <w:jc w:val="center"/>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74"/>
              </w:rPr>
              <w:t>millions)</w:t>
            </w: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(1)%</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w:t>
            </w:r>
          </w:p>
        </w:tc>
        <w:tc>
          <w:tcPr>
            <w:tcW w:w="13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4%</w:t>
            </w: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(1)%</w:t>
            </w:r>
          </w:p>
        </w:tc>
        <w:tc>
          <w:tcPr>
            <w:tcW w:w="11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371"/>
        </w:trPr>
        <w:tc>
          <w:tcPr>
            <w:tcW w:w="19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6"/>
            <w:vMerge w:val="restart"/>
          </w:tcPr>
          <w:p>
            <w:pPr>
              <w:jc w:val="center"/>
              <w:ind w:right="380"/>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w w:val="97"/>
              </w:rPr>
              <w:t>($ in</w:t>
            </w:r>
          </w:p>
        </w:tc>
        <w:tc>
          <w:tcPr>
            <w:tcW w:w="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0"/>
              </w:rPr>
              <w:t>millions)</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6,292</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(4)%</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1%</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(2)%</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-915670</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-898525</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-915670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-898525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-24765</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-7620</wp:posOffset>
            </wp:positionV>
            <wp:extent cx="768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Definitions of Constant Currency Change and Organic Change are included under the section entitled ‘Non-GAAP Financial Measures’ elsewhere within Item 2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w:t>
      </w:r>
    </w:p>
    <w:p>
      <w:pPr>
        <w:spacing w:after="0" w:line="17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For further information on our segment reorganization and a full description of our businesses, please see </w:t>
      </w:r>
      <w:r>
        <w:rPr>
          <w:rFonts w:ascii="Arial" w:cs="Arial" w:eastAsia="Arial" w:hAnsi="Arial"/>
          <w:sz w:val="18"/>
          <w:szCs w:val="18"/>
          <w:i w:val="1"/>
          <w:iCs w:val="1"/>
          <w:color w:val="auto"/>
        </w:rPr>
        <w:t>‘</w:t>
      </w:r>
      <w:r>
        <w:rPr>
          <w:rFonts w:ascii="Arial" w:cs="Arial" w:eastAsia="Arial" w:hAnsi="Arial"/>
          <w:sz w:val="18"/>
          <w:szCs w:val="18"/>
          <w:color w:val="auto"/>
        </w:rPr>
        <w:t>Segment Reorganization</w:t>
      </w:r>
      <w:r>
        <w:rPr>
          <w:rFonts w:ascii="Arial" w:cs="Arial" w:eastAsia="Arial" w:hAnsi="Arial"/>
          <w:sz w:val="18"/>
          <w:szCs w:val="18"/>
          <w:i w:val="1"/>
          <w:iCs w:val="1"/>
          <w:color w:val="auto"/>
        </w:rPr>
        <w:t>’</w:t>
      </w:r>
      <w:r>
        <w:rPr>
          <w:rFonts w:ascii="Arial" w:cs="Arial" w:eastAsia="Arial" w:hAnsi="Arial"/>
          <w:sz w:val="18"/>
          <w:szCs w:val="18"/>
          <w:color w:val="auto"/>
        </w:rPr>
        <w:t xml:space="preserve"> elsewhere within Part I, Item 2 of this Quarterly Report on Form 10-Q.</w:t>
      </w:r>
    </w:p>
    <w:p>
      <w:pPr>
        <w:spacing w:after="0" w:line="11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Segment revenue excludes amounts that were directly incurred on behalf of our clients and reimbursed by them (reimbursed expenses); however, these amounts are included in consolidated revenue.</w:t>
      </w:r>
    </w:p>
    <w:p>
      <w:pPr>
        <w:spacing w:after="0" w:line="13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experiences seasonal fluctuations in its revenue. Revenue is typically higher during the Company’s first and fourth quarters due primarily to the timing of broking-related activities.</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Within the tables presented below, the components of revenue change provided may not add due to rounding. The prior-year segment information has been conformed to the current-year presentation.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HWC Revenue</w:t>
      </w:r>
    </w:p>
    <w:p>
      <w:pPr>
        <w:spacing w:after="0" w:line="15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sets forth HWC segment revenue for the three months ended September 30, 2022 and 2021 and the components of the change in revenue for the three months ended September 30, 2022 from the three months ended September 30,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4"/>
            <w:vMerge w:val="restart"/>
          </w:tcPr>
          <w:p>
            <w:pPr>
              <w:jc w:val="right"/>
              <w:ind w:right="319"/>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0"/>
              </w:rPr>
              <w:t>millions)</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1360" w:type="dxa"/>
            <w:vAlign w:val="bottom"/>
            <w:tcBorders>
              <w:top w:val="single" w:sz="8" w:color="CFF0FC"/>
              <w:bottom w:val="single" w:sz="8" w:color="CFF0FC"/>
            </w:tcBorders>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4"/>
              </w:rPr>
              <w:t>(1)%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(5)%</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-24765</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-7620</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-170815</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76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76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-521970</wp:posOffset>
            </wp:positionV>
            <wp:extent cx="76835" cy="3594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359410"/>
                    </a:xfrm>
                    <a:prstGeom prst="rect">
                      <a:avLst/>
                    </a:prstGeom>
                    <a:noFill/>
                  </pic:spPr>
                </pic:pic>
              </a:graphicData>
            </a:graphic>
          </wp:anchor>
        </w:drawing>
      </w:r>
    </w:p>
    <w:p>
      <w:pPr>
        <w:spacing w:after="0" w:line="18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HWC segment revenue for both the three months ended September 30, 2022 and 2021 was $1.2 billion. On an organic basis, all components of the segment contributed to growth, with Health and Career leading the segment. Growth in our Health business was driven by new client appointments and increases in advisory work and product sales. Our Wealth businesses generated organic revenue growth from higher levels of regulatory work in Great Britain and increased project activity related to financial market volatility, partially offset by headwinds from the negative impact of capital market performance. Our Career businesses grew revenue</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7" w:right="279" w:bottom="1440" w:gutter="0" w:footer="0" w:header="0"/>
        </w:sectPr>
      </w:pPr>
    </w:p>
    <w:bookmarkStart w:id="38" w:name="page39"/>
    <w:bookmarkEnd w:id="38"/>
    <w:p>
      <w:pPr>
        <w:ind w:right="220"/>
        <w:spacing w:after="0" w:line="277" w:lineRule="auto"/>
        <w:rPr>
          <w:sz w:val="20"/>
          <w:szCs w:val="20"/>
          <w:color w:val="auto"/>
        </w:rPr>
      </w:pPr>
      <w:r>
        <w:rPr>
          <w:rFonts w:ascii="Arial" w:cs="Arial" w:eastAsia="Arial" w:hAnsi="Arial"/>
          <w:sz w:val="18"/>
          <w:szCs w:val="18"/>
          <w:color w:val="auto"/>
        </w:rPr>
        <w:t>organically with increased participation and sales in our compensation benchmarking surveys and through increased project activity. Benefits Delivery &amp; Outsourcing organic revenue growth was led by Medicare Advantage sales.</w:t>
      </w:r>
    </w:p>
    <w:p>
      <w:pPr>
        <w:spacing w:after="0" w:line="14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sets forth HWC segment revenue for the nine months ended September 30, 2022 and 2021, and the components of the change in revenue for the nine months ended September 30, 2022 from the nine months ended September 30,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4"/>
            <w:vMerge w:val="restart"/>
          </w:tcPr>
          <w:p>
            <w:pPr>
              <w:jc w:val="right"/>
              <w:ind w:right="359"/>
              <w:spacing w:after="0"/>
              <w:rPr>
                <w:sz w:val="20"/>
                <w:szCs w:val="20"/>
                <w:color w:val="auto"/>
              </w:rPr>
            </w:pPr>
            <w:r>
              <w:rPr>
                <w:rFonts w:ascii="Arial" w:cs="Arial" w:eastAsia="Arial" w:hAnsi="Arial"/>
                <w:sz w:val="14"/>
                <w:szCs w:val="14"/>
                <w:b w:val="1"/>
                <w:bCs w:val="1"/>
                <w:color w:val="auto"/>
                <w:w w:val="98"/>
              </w:rPr>
              <w:t>Nine Months Ended September 30,</w:t>
            </w: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0"/>
              </w:rPr>
              <w:t>millions)</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240" w:type="dxa"/>
            <w:vAlign w:val="bottom"/>
            <w:tcBorders>
              <w:top w:val="single" w:sz="8" w:color="CFF0FC"/>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w:t>
            </w: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(3)%</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-24765</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-7620</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-170815</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768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-521970</wp:posOffset>
            </wp:positionV>
            <wp:extent cx="76835" cy="3594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835" cy="359410"/>
                    </a:xfrm>
                    <a:prstGeom prst="rect">
                      <a:avLst/>
                    </a:prstGeom>
                    <a:noFill/>
                  </pic:spPr>
                </pic:pic>
              </a:graphicData>
            </a:graphic>
          </wp:anchor>
        </w:drawing>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HWC segment revenue for both the nine months ended September 30, 2022 and 2021 was $3.6 billion. Organic growth was led by the Health business primarily due to demand for products and advisory work combined with new client appointments. The Health business’ revenue also benefited from gains recorded in connection with book-of-business settlements. Career also contributed strong growth, driven by demand for our survey offerings, reward-based advisory services, compensation benchmarking products and increased project activity. Benefits Delivery &amp; Outsourcing organic revenue increased, led by its expanded client base and Medicare Advantage sales. Organic growth was partially offset by a decline in Wealth revenue, principally due to headwinds from outsized performance fees earned in the prior year and capital market declines this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R&amp;B Revenue</w:t>
      </w:r>
    </w:p>
    <w:p>
      <w:pPr>
        <w:spacing w:after="0" w:line="15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sets forth R&amp;B segment revenue for the three months ended September 30, 2022 and 2021 and the components of the change in revenue for the three months ended September 30, 2022 from the three months ended September 30,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6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680" w:type="dxa"/>
            <w:vAlign w:val="bottom"/>
            <w:tcBorders>
              <w:bottom w:val="single" w:sz="8" w:color="auto"/>
            </w:tcBorders>
            <w:gridSpan w:val="4"/>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 in</w:t>
            </w:r>
          </w:p>
        </w:tc>
        <w:tc>
          <w:tcPr>
            <w:tcW w:w="1280" w:type="dxa"/>
            <w:vAlign w:val="bottom"/>
            <w:gridSpan w:val="2"/>
          </w:tcPr>
          <w:p>
            <w:pPr>
              <w:jc w:val="right"/>
              <w:ind w:right="659"/>
              <w:spacing w:after="0"/>
              <w:rPr>
                <w:sz w:val="20"/>
                <w:szCs w:val="20"/>
                <w:color w:val="auto"/>
              </w:rPr>
            </w:pPr>
            <w:r>
              <w:rPr>
                <w:rFonts w:ascii="Arial" w:cs="Arial" w:eastAsia="Arial" w:hAnsi="Arial"/>
                <w:sz w:val="14"/>
                <w:szCs w:val="14"/>
                <w:b w:val="1"/>
                <w:bCs w:val="1"/>
                <w:color w:val="auto"/>
                <w:w w:val="90"/>
              </w:rPr>
              <w:t>millions)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96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3"/>
              </w:rPr>
              <w:t>765</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787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(6)%</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3%</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4"/>
              </w:rPr>
              <w:t>(3)%</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-24765</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-7620</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-170815</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768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-521970</wp:posOffset>
            </wp:positionV>
            <wp:extent cx="76835" cy="3594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359410"/>
                    </a:xfrm>
                    <a:prstGeom prst="rect">
                      <a:avLst/>
                    </a:prstGeom>
                    <a:noFill/>
                  </pic:spPr>
                </pic:pic>
              </a:graphicData>
            </a:graphic>
          </wp:anchor>
        </w:drawing>
      </w:r>
    </w:p>
    <w:p>
      <w:pPr>
        <w:spacing w:after="0" w:line="1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R&amp;B segment revenue for the three months ended September 30, 2022 and 2021 was $765 million and $787 million, respectively. On an organic basis, Corporate Risk &amp; Broking generated organic revenue growth across all regions, primarily driven by our global lines of business, most notably in Aerospace, Natural Resources and FINEX. Insurance Consulting and Technology's organic revenue grew primarily as a result of new software sales. Book-of-business settlement activity was largely in line with prior year and did not meaningfully affect Corporate Risk and Broking's organic growth rate.</w:t>
      </w:r>
    </w:p>
    <w:p>
      <w:pPr>
        <w:spacing w:after="0" w:line="15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sets forth R&amp;B segment revenue for the nine months ended September 30, 2022 and 2021, and the components of the change in revenue for the nine months ended September 30, 2022 from the nine months ended September 30,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4"/>
            <w:vMerge w:val="restart"/>
          </w:tcPr>
          <w:p>
            <w:pPr>
              <w:jc w:val="right"/>
              <w:ind w:right="359"/>
              <w:spacing w:after="0"/>
              <w:rPr>
                <w:sz w:val="20"/>
                <w:szCs w:val="20"/>
                <w:color w:val="auto"/>
              </w:rPr>
            </w:pPr>
            <w:r>
              <w:rPr>
                <w:rFonts w:ascii="Arial" w:cs="Arial" w:eastAsia="Arial" w:hAnsi="Arial"/>
                <w:sz w:val="14"/>
                <w:szCs w:val="14"/>
                <w:b w:val="1"/>
                <w:bCs w:val="1"/>
                <w:color w:val="auto"/>
                <w:w w:val="98"/>
              </w:rPr>
              <w:t>Nine Months Ended September 30,</w:t>
            </w: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0"/>
              </w:rPr>
              <w:t>millions)</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(5)%</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1%</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4"/>
              </w:rPr>
              <w:t>(2)%</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-24765</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-7620</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-170815</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-521970</wp:posOffset>
            </wp:positionV>
            <wp:extent cx="76835" cy="3594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835" cy="359410"/>
                    </a:xfrm>
                    <a:prstGeom prst="rect">
                      <a:avLst/>
                    </a:prstGeom>
                    <a:noFill/>
                  </pic:spPr>
                </pic:pic>
              </a:graphicData>
            </a:graphic>
          </wp:anchor>
        </w:drawing>
      </w:r>
    </w:p>
    <w:p>
      <w:pPr>
        <w:spacing w:after="0" w:line="168"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 xml:space="preserve">R&amp;B segment revenue for the nine months ended September 30, 2022 and 2021 was $2.5 billion and $2.6 billion, respectively. </w:t>
      </w:r>
      <w:r>
        <w:rPr>
          <w:rFonts w:ascii="Arial" w:cs="Arial" w:eastAsia="Arial" w:hAnsi="Arial"/>
          <w:sz w:val="18"/>
          <w:szCs w:val="18"/>
          <w:color w:val="242424"/>
        </w:rPr>
        <w:t>On an organic basis, CRB’s</w:t>
      </w:r>
      <w:r>
        <w:rPr>
          <w:rFonts w:ascii="Arial" w:cs="Arial" w:eastAsia="Arial" w:hAnsi="Arial"/>
          <w:sz w:val="18"/>
          <w:szCs w:val="18"/>
          <w:color w:val="auto"/>
        </w:rPr>
        <w:t xml:space="preserve"> </w:t>
      </w:r>
      <w:r>
        <w:rPr>
          <w:rFonts w:ascii="Arial" w:cs="Arial" w:eastAsia="Arial" w:hAnsi="Arial"/>
          <w:sz w:val="18"/>
          <w:szCs w:val="18"/>
          <w:color w:val="242424"/>
        </w:rPr>
        <w:t>revenue grew across all regions, primarily driven by our global lines of business, most notably in Aerospace, Natural Resources and FINEX. ICT’s organic revenue grew from increased software sales and advisory work.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Providing Services (Continuing Operations)</w:t>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Total costs of providing services for the three months ended September 30, 2022 were $1.8 billion, compared to $842 million for the three months ended September 30, 2021, an increase of $957 million, or 114%. Total costs of providing services for the nine months ended September 30, 2022 were $5.7 billion, compared to $4.8 billion for the nine months ended September 30, 2021, an increase of $894 million, or 19%. These increases were primarily due to the prior-year period $1 billion income receipt related to the termination of our then-proposed Aon transaction, which resulted in lower total costs. See the following discussion for further details.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Salaries and Benefits</w:t>
      </w:r>
    </w:p>
    <w:p>
      <w:pPr>
        <w:spacing w:after="0" w:line="1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Salaries and benefits for the three months ended September 30, 2022 were $1.2 billion, compared to $1.3 billion for the three months ended September 30, 2021, a decrease of $30 million, or 2%. Salaries and benefits, as a percentage of revenue, were 63% and 64% for the three months ended September 30, 2022 and 2021, respectively.</w:t>
      </w:r>
    </w:p>
    <w:p>
      <w:pPr>
        <w:spacing w:after="0" w:line="143" w:lineRule="exact"/>
        <w:rPr>
          <w:sz w:val="20"/>
          <w:szCs w:val="20"/>
          <w:color w:val="auto"/>
        </w:rPr>
      </w:pPr>
    </w:p>
    <w:p>
      <w:pPr>
        <w:jc w:val="both"/>
        <w:ind w:right="180"/>
        <w:spacing w:after="0" w:line="293" w:lineRule="auto"/>
        <w:rPr>
          <w:sz w:val="20"/>
          <w:szCs w:val="20"/>
          <w:color w:val="auto"/>
        </w:rPr>
      </w:pPr>
      <w:r>
        <w:rPr>
          <w:rFonts w:ascii="Arial" w:cs="Arial" w:eastAsia="Arial" w:hAnsi="Arial"/>
          <w:sz w:val="16"/>
          <w:szCs w:val="16"/>
          <w:color w:val="auto"/>
        </w:rPr>
        <w:t>Salaries and benefits for the nine months ended September 30, 2022 were $3.8 billion, compared to $4.0 billion for the nine months ended September 30, 2021, a decrease of $189 million, or 5%. Salaries and benefits, as a percentage of revenue, were 62% and 63% for the nine months ended September 30, 2022 and 2021, respectively. The decreases in both current-year periods are primarily due to lower incentive and compensation costs for the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expenses for the three months ended September 30, 2022 were $384 million, compared to $385 million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 decrease of $1 million. The decrease was primarily due to lower non-income-related tax expense and occupancy costs, partially</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offset by higher travel and entertainment costs and local office expenses. Other operating expenses for the nine months ended September 30, 2022 were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$1.3 billion, compared to $1.2 billion for the nine months ended September 30, 2021, an increase of $94 million, or 8%. The increase was primarily due to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asset impairments, mostly accounts receivables, related to Russian insurance contracts placed by U.K. brokers in the London market (see Note 3 —</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Divestitures within Part I, Item 1 ‘Financial Statements’ in this Form 10-Q for additional information), higher travel and entertainment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costs, local office expenses and business insurance costs, partially offset by lower non-income-related tax expense and occupancy costs for the current year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as compared to the prior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Depreciation for the three months ended September 30, 2022 was $60 million, compared to $69 million for the three months ended September 30, 2021, a decrease of $9 million, or 13%. Depreciation for the nine months ended September 30, 2022 was $191 million, compared to $212 million for the nine months ended September 30, 2021, a decrease of $21 million, or 10%. The quarter-over-quarter and year-over-year decreases were primarily due to a lower depreciable base of assets resulting from business disposals over the last two years and a lower dollar value of assets placed in service during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Amortization for the three months ended September 30, 2022 was $71 million, compared to $85 million for the three months ended September 30, 2021, a decrease of $14 million, or 16%. Amortization for the nine months ended September 30, 2022 was $239 million, compared to $285 million for the nine months ended September 30, 2021, a decrease of $46 million, or 16%. Our intangible amortization is generally more heavily weighted to the initial years of the useful lives of the related intangibles, and therefore amortization related to intangible assets will continue to decrease over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Restructuring costs for the three and nine months ended September 30, 2022 were $9 million and $71 million, respectively. Restructuring costs primarily relate to the real estate rationalization and technology modernization components of the Transformation program (see ‘Transformation Program’ within this Part I, Item 2 and Note 6 — Restructuring Costs within Part I, Item 1 ‘Financial Statements’ of this Quarterly Report on Form 10-Q).</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Transformation, Net</w:t>
      </w:r>
    </w:p>
    <w:p>
      <w:pPr>
        <w:spacing w:after="0" w:line="15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Transaction and transformation, net costs for the three months ended September 30, 2022 were $50 million, compared to income of $952 million for the three months ended September 30, 2021. Transaction and transformation, net costs for the nine months ended September 30, 2022 were $108 million, compared to income of $877 million for the nine months ended September 30, 2021. Transaction and transformation, net costs for the current year were comprised of compensation costs and consulting fees related to the Transformation program (see ‘Transformation Program’ within this Part I, Item 2), as well as legal fees and other transaction costs. Transaction and transformation, net income for the prior-year period consisted mostly of the $1 billion income receipt related to the termination of our then-proposed combination with Aon, and was partially offset by legal and other professional fees related to this terminated transaction.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17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Income from operations for the three months ended September 30, 2022 was $154 million, compared to $1.1 billion for the three months ended September 30, 2021, a decrease of $977 million. Income from operations for the nine months ended September 30, 2022 was $470 million, compared to $1.5 billion for the nine months ended September 30, 2021, a decrease of $1.0 billion.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40" w:name="page41"/>
    <w:bookmarkEnd w:id="40"/>
    <w:p>
      <w:pPr>
        <w:ind w:right="580"/>
        <w:spacing w:after="0" w:line="277" w:lineRule="auto"/>
        <w:rPr>
          <w:sz w:val="20"/>
          <w:szCs w:val="20"/>
          <w:color w:val="auto"/>
        </w:rPr>
      </w:pPr>
      <w:r>
        <w:rPr>
          <w:rFonts w:ascii="Arial" w:cs="Arial" w:eastAsia="Arial" w:hAnsi="Arial"/>
          <w:sz w:val="18"/>
          <w:szCs w:val="18"/>
          <w:color w:val="auto"/>
        </w:rPr>
        <w:t>decreases in both the quarter and year-to-date results were primarily due to the prior-year $1 billion income receipt from the termination of the then-proposed Aon transaction, which resulted in lower total costs.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lower revenue during the current year resulted from unfavorable foreign exchange and recent business disposals.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Interest expense for the three months ended September 30, 2022 was $54 million, compared to $50 million for the three months ended September 30, 2021, an increase of $4 million, or 8%. This increase was primarily due to new higher interest-bearing senior notes issued during the second quarter. Interest expense for the nine months ended September 30, 2022 was $154 million as compared to $161 million for the nine months ended September 30, 2021, a decrease of $7 million, or 4%. This decrease was primarily the result of lower average levels of indebtedness in the current year.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6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Other income, net for the three months ended September 30, 2022 was $85 million, compared to $105 million for the three months ended September 30, 2021, a decrease of $20 million, or 19%, due primarily to lower pension income in the current quarter.</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Other income, net for the nine months ended September 30, 2022 was $205 million, compared to $617 million for the nine months ended September 30, 2021. Other income, net in the prior-year period consisted primarily of the net gain on disposal of our Miller business (see Note 3 – Acquisitions and Divestitures in Part I, Item 1 ‘Financial Statements’ in this Form 10-Q), which primarily accounted for the decrease in other income, net, in the current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Provision for income taxes for the three months ended September 30, 2022 was $1 million, compared to $267 million for the three months ended September 30, 2021, a decrease of $266 million. The effective tax rate was 0.7% for the three months ended September 30, 2022, and 22.5% for the three months ended September 30, 2021. Provision for income taxes for the nine months ended September 30, 2022 was $63 million, compared to $386 million for the nine months ended September 30, 2021, a decrease of $323 million. The effective tax rate was 12.1% for the nine months ended September 30, 2022 and 19.6% for the nine months ended September 30, 2021. These effective tax rates are calculated using extended values from the Company’s condensed consolidated statements of comprehensive income and are, therefore, more precise tax rates than can be calculated from rounded values. The prior-year quarter effective tax rate was higher due to the tax expense associated with the income receipt related to the termination of the then-proposed combination with Aon. Additionally, the current-quarter effective tax rate includes discrete tax benefits related to amending the Company’s U.S. federal and state tax returns to change certain elections available under the Coronavirus Aid, Relief, and Economic Security (‘CARES’) Act as well as excess tax benefits on executive share-based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 from Discontinued Operations, Net of Tax</w:t>
      </w:r>
    </w:p>
    <w:p>
      <w:pPr>
        <w:spacing w:after="0" w:line="16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Income from discontinued operations, net of tax for the three months ended September 30, 2022 was $8 million, compared to a loss from discontinued operations, net of tax of $12 million for the three months ended September 30, 2021, an increase of $20 million. Loss from discontinued operations, net of tax for the nine months ended September 30, 2022 was $27 million, compared to income from discontinued operations, net of tax of $247 million for the nine months ended September 30, 2021, a decrease of $274 million. The operations of our Willis Re business were reclassified to discontinued operations upon our entering into an agreement to sell the business during the third quarter of 2021 (see Note 3 – Acquisitions and Divestitures in Part I, Item 1 ‘Financial Statements’ in this Form 10-Q). Gains and losses from discontinued operations in the current year are primarily attributable to the adjustments to the gain on disposal resulting from updating the purchase price and the operations of the deferred closing entities and run-off activity associated with the divestiture.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WTW</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Net income attributable to WTW for the three months ended September 30, 2022 was $190 million, compared to $903 million for the three months ended September 30, 2021, a decrease of $713 million, or 79%. This decrease was primarily due to the prior-year $1 billion income receipt related to the termination of our then-proposed combination with Aon, partially offset by lower income tax expense in the current quarter.</w:t>
      </w:r>
    </w:p>
    <w:p>
      <w:pPr>
        <w:spacing w:after="0" w:line="10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Net income attributable to WTW for the nine months ended September 30, 2022 was $421 million, compared to $1.8 billion for the nine months ended September 30, 2021, a decrease of $1.4 billion, or 77%. This decrease was primarily due to the prior-year $1 billion income receipt related to the termination of our then-proposed combination with Aon, the prior-year gain on the sale of the Miller business, and lower net income from the discontinued operations of our Willis Re business, partially offset by lower incentive compensation accruals in the current-year period.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5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Our principal sources of liquidity are funds generated by operating activities, available cash and cash equivalents and amounts available under our revolving credit facilities and any new debt offerings.</w:t>
      </w:r>
    </w:p>
    <w:p>
      <w:pPr>
        <w:spacing w:after="0" w:line="130"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There has been significant volatility in financial markets, including occasional declines in equity markets, inflation and changes in interest rates and reduced liquidity on a global basis. Specific to WTW, over the past two years, the COVID-19 pandemic had an initial negative impact on discretionary work we perform for our clients, but we subsequently saw increased demand for these services begin to return in the second quarter of 2021 and has continued during 2022. We continue to have decreased spending on travel and associated expenses and third-party contractors, and we have the ability to contain spending on discretionary projects and certain capital expenditures.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scheduled debt repayments, share repurchases and dividend payments. During the nine months ended September 30 2022, we completed an offering of $750 million aggregate principal amount of 4.650% senior notes due 2027, using the proceeds in part to repay in full our €540 million ($582 million on the date of repayment) aggregate principal amount of 2.125% Senior Notes due 2022 ($594 million including accrued interest), which were to mature during the second quarter of 2022. Additionally, during the nine months ended September 30, 2022, our board of directors approved a $1.0 billion increase to the existing share repurchase program, and during the nine months ended September 30, 2022 we repurchased $3.1 billion of shares, with remaining authorization to repurchase an additional $1.8 billion.</w:t>
      </w:r>
    </w:p>
    <w:p>
      <w:pPr>
        <w:spacing w:after="0" w:line="122" w:lineRule="exact"/>
        <w:rPr>
          <w:sz w:val="20"/>
          <w:szCs w:val="20"/>
          <w:color w:val="auto"/>
        </w:rPr>
      </w:pPr>
    </w:p>
    <w:p>
      <w:pPr>
        <w:ind w:right="100"/>
        <w:spacing w:after="0" w:line="361" w:lineRule="auto"/>
        <w:rPr>
          <w:sz w:val="20"/>
          <w:szCs w:val="20"/>
          <w:color w:val="auto"/>
        </w:rPr>
      </w:pPr>
      <w:r>
        <w:rPr>
          <w:rFonts w:ascii="Arial" w:cs="Arial" w:eastAsia="Arial" w:hAnsi="Arial"/>
          <w:sz w:val="15"/>
          <w:szCs w:val="15"/>
          <w:color w:val="auto"/>
        </w:rPr>
        <w:t>From time to time, we will consider whether to repurchase shares based on many factors, including market and economic conditions, applicable legal requirements and other business considerations. The share repurchase program has no termination date and may be suspended or discontinued at any time.</w:t>
      </w:r>
    </w:p>
    <w:p>
      <w:pPr>
        <w:spacing w:after="0" w:line="4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Before its disposal last year, Willis Re’s operating cash flows approximated its pre-tax income and any adjustments for working capital movements (see Note 3 — Acquisitions and Divestitures in Part I, Item 1 ‘Financial Statements’ within this Quarterly Report on Form 10-Q). Certain costs historically allocated to the Willis Re business are included in continuing operations and were retained following the disposal, but are expected to be partially offset by reimbursements through the TSA. Costs incurred to service the TSA are expected to be reduced as part of the Company’s Transformation program as quickly as possible when the services are no longer required by Gallagher.</w:t>
      </w:r>
    </w:p>
    <w:p>
      <w:pPr>
        <w:spacing w:after="0" w:line="12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Undistributed Earnings of Foreign Subsidiaries</w:t>
      </w:r>
    </w:p>
    <w:p>
      <w:pPr>
        <w:spacing w:after="0" w:line="15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3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Company continues to have certain subsidiaries for which the earnings have not been deemed permanently reinvested and for which it has been accruing estimates of the tax effects of such repatriation. Excluding these certain subsidiaries, the Company continues to assert that the historical cumulative earnings for the remainder of its subsidiaries have been reinvested indefinitely, and therefore does not provide deferred taxes on these amounts. If future events, including material changes in estimates of cash, working capital, long-term investment requirements or additional legislation relating to U.S. Tax Reform, necessitate that these earnings be distributed, an additional provision for income and foreign withholding taxes, net of credits, may be necessary. Other potential sources of cash may be obtained through the settlement of intercompany loans or return of capital distributions in a tax-efficient manner.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cash and cash equivalents at September 30, 2022 totaled $1.5 billion, compared to $4.5 billion at December 31, 2021. The decrease in cash from December 31, 2021 to September 30, 2022 was due primarily to $3.1 billion of share repurchases.</w:t>
      </w:r>
    </w:p>
    <w:p>
      <w:pPr>
        <w:spacing w:after="0" w:line="10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Additionally, we had all of the borrowing capacity available to draw against our $1.5 billion revolving credit facility at both September 30, 2022 and December 31, 2021.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42" w:name="page43"/>
    <w:bookmarkEnd w:id="42"/>
    <w:p>
      <w:pPr>
        <w:ind w:right="200"/>
        <w:spacing w:after="0" w:line="277" w:lineRule="auto"/>
        <w:rPr>
          <w:sz w:val="20"/>
          <w:szCs w:val="20"/>
          <w:color w:val="auto"/>
        </w:rPr>
      </w:pPr>
      <w:r>
        <w:rPr>
          <w:rFonts w:ascii="Arial" w:cs="Arial" w:eastAsia="Arial" w:hAnsi="Arial"/>
          <w:sz w:val="18"/>
          <w:szCs w:val="18"/>
          <w:color w:val="auto"/>
        </w:rPr>
        <w:t>Included within cash and cash equivalents at September 30, 2022 and December 31, 2021 are amounts held for regulatory capital adequacy requirements, including $113 million and $120 million, respectively, held within our regulated U.K. entities.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Condensed Consolidated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summarized condensed consolidated cash flow information for the nine months ended September 30,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r>
      <w:tr>
        <w:trPr>
          <w:trHeight w:val="169"/>
        </w:trPr>
        <w:tc>
          <w:tcPr>
            <w:tcW w:w="79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r>
      <w:tr>
        <w:trPr>
          <w:trHeight w:val="169"/>
        </w:trPr>
        <w:tc>
          <w:tcPr>
            <w:tcW w:w="7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r>
      <w:tr>
        <w:trPr>
          <w:trHeight w:val="216"/>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from/(used in):</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11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1,877</w:t>
            </w:r>
          </w:p>
        </w:tc>
      </w:tr>
      <w:tr>
        <w:trPr>
          <w:trHeight w:val="216"/>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361</w:t>
            </w: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(3,109 )</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(2,256 )</w:t>
            </w:r>
          </w:p>
        </w:tc>
      </w:tr>
      <w:tr>
        <w:trPr>
          <w:trHeight w:val="209"/>
        </w:trPr>
        <w:tc>
          <w:tcPr>
            <w:tcW w:w="7980" w:type="dxa"/>
            <w:vAlign w:val="bottom"/>
            <w:shd w:val="clear" w:color="auto" w:fill="CFF0FC"/>
          </w:tcPr>
          <w:p>
            <w:pPr>
              <w:ind w:left="20"/>
              <w:spacing w:after="0" w:line="209" w:lineRule="exact"/>
              <w:rPr>
                <w:sz w:val="20"/>
                <w:szCs w:val="20"/>
                <w:color w:val="auto"/>
              </w:rPr>
            </w:pPr>
            <w:r>
              <w:rPr>
                <w:rFonts w:ascii="Arial" w:cs="Arial" w:eastAsia="Arial" w:hAnsi="Arial"/>
                <w:sz w:val="18"/>
                <w:szCs w:val="18"/>
                <w:color w:val="auto"/>
              </w:rPr>
              <w:t xml:space="preserve">DECREASE IN CASH, CASH EQUIVALENTS AND RESTRICTED CASH </w:t>
            </w:r>
            <w:r>
              <w:rPr>
                <w:rFonts w:ascii="Arial" w:cs="Arial" w:eastAsia="Arial" w:hAnsi="Arial"/>
                <w:sz w:val="24"/>
                <w:szCs w:val="24"/>
                <w:color w:val="auto"/>
                <w:vertAlign w:val="superscript"/>
              </w:rPr>
              <w:t>(i)</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(2,730 )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16"/>
        </w:trPr>
        <w:tc>
          <w:tcPr>
            <w:tcW w:w="7980" w:type="dxa"/>
            <w:vAlign w:val="bottom"/>
            <w:tcBorders>
              <w:bottom w:val="single" w:sz="8" w:color="CFF0FC"/>
            </w:tcBorders>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CASH, CASH EQUIVALENTS AND RESTRICTED CASH, BEGINNING OF PERIOD </w:t>
            </w:r>
            <w:r>
              <w:rPr>
                <w:rFonts w:ascii="Arial" w:cs="Arial" w:eastAsia="Arial" w:hAnsi="Arial"/>
                <w:sz w:val="24"/>
                <w:szCs w:val="24"/>
                <w:color w:val="auto"/>
                <w:vertAlign w:val="superscript"/>
              </w:rPr>
              <w:t>(i)</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7,691</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6,301</w:t>
            </w:r>
          </w:p>
        </w:tc>
      </w:tr>
      <w:tr>
        <w:trPr>
          <w:trHeight w:val="209"/>
        </w:trPr>
        <w:tc>
          <w:tcPr>
            <w:tcW w:w="7980" w:type="dxa"/>
            <w:vAlign w:val="bottom"/>
          </w:tcPr>
          <w:p>
            <w:pPr>
              <w:ind w:left="20"/>
              <w:spacing w:after="0" w:line="209"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4"/>
                <w:szCs w:val="24"/>
                <w:color w:val="auto"/>
                <w:vertAlign w:val="superscript"/>
              </w:rPr>
              <w:t>(i)</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4,671</w:t>
            </w:r>
          </w:p>
        </w:tc>
        <w:tc>
          <w:tcPr>
            <w:tcW w:w="11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6,184</w:t>
            </w:r>
          </w:p>
        </w:tc>
      </w:tr>
      <w:tr>
        <w:trPr>
          <w:trHeight w:val="20"/>
        </w:trPr>
        <w:tc>
          <w:tcPr>
            <w:tcW w:w="7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-170815</wp:posOffset>
            </wp:positionV>
            <wp:extent cx="102870" cy="1714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jc w:val="both"/>
        <w:ind w:left="280" w:right="160" w:hanging="272"/>
        <w:spacing w:after="0" w:line="277" w:lineRule="auto"/>
        <w:tabs>
          <w:tab w:leader="none" w:pos="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 Supplemental Disclosures of Cash Flow Information within Part I, Item I ‘Financial Statements’ within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Cash flows from operating activities were $437 million for the nine months ended September 30, 2022, compared to $1.9 billion for the nine months ended September 30, 2021. The $437 million of net cash from operating activities for the nine months ended September 30, 2022 included net income of $431 million and $437 million of favorable non-cash adjustments, partially offset by unfavorable changes in operating assets and liabilities of $431 million. In addition to the prior-year income receipt of $1 billion related to the termination of the proposed Aon transaction, the decrease in cash flows from operations as compared to the prior year was due to additional tax payments, mostly related to this income receipt payment from Aon, and the elimination of cash generation resulting from the Willis Re divestiture.</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$1.9 billion of net cash from operating activities for the nine months ended September 30, 2021 included net income of $1.8 billion and $200 million of favorable non-cash adjustments, partially offset by unfavorable changes in operating assets and liabilities of $152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In)/From Investing Activities</w:t>
      </w:r>
    </w:p>
    <w:p>
      <w:pPr>
        <w:spacing w:after="0" w:line="15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Cash flows used in investing activities for the nine months ended September 30, 2022 were $58 million as compared to cash flows from investing activities of $361 million for the nine months ended September 30, 2021. The cash flows used in investing activities for the nine months ended September 30, 2022 primarily include capital expenditures and capitalized software additions of $150 million, acquisitions of $80 million, and cash and fiduciary funds transferred on disposal of $29 million, partially offset by sales of investments of $200 million. The cash flows from investing activities in the prior-year period primarily included the net proceeds from the sale of Miller of $696 million and another smaller sale of $30 million, partially offset by cash and fiduciary funds transferred on disposal of $216 million and capital expenditures and capitalized software additions of $149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71"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Cash flows used in financing activities for the nine months ended September 30, 2022 were $3.1 billion. The significant financing activities included share repurchases of $3.1 billion, debt repayments of $590 million and dividend payments of $280 million, partially offset by $750 million of net proceeds from issuance of debt and $157 million of net proceeds from fiduciary funds held for clients.</w:t>
      </w:r>
    </w:p>
    <w:p>
      <w:pPr>
        <w:spacing w:after="0" w:line="130"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Cash flows used in financing activities for the nine months ended September 30, 2021 were $2.3 billion. The significant financing activities included share repurchases of $1.0 billion, debt repayments of $970 million, and dividend payments of $275 million, partially offset by $49 million of net proceeds from fiduciary funds held for clients.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Total debt, total equity, and the capitalization ratios at September 30, 2022 and December 31, 2021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57"/>
              <w:spacing w:after="0"/>
              <w:rPr>
                <w:sz w:val="20"/>
                <w:szCs w:val="20"/>
                <w:color w:val="auto"/>
              </w:rPr>
            </w:pPr>
            <w:r>
              <w:rPr>
                <w:rFonts w:ascii="Arial" w:cs="Arial" w:eastAsia="Arial" w:hAnsi="Arial"/>
                <w:sz w:val="14"/>
                <w:szCs w:val="14"/>
                <w:b w:val="1"/>
                <w:bCs w:val="1"/>
                <w:color w:val="auto"/>
              </w:rPr>
              <w:t>($ in</w:t>
            </w: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2"/>
              </w:rPr>
              <w:t>millions)</w:t>
            </w: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4,470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center"/>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3,974</w:t>
            </w:r>
          </w:p>
        </w:tc>
        <w:tc>
          <w:tcPr>
            <w:tcW w:w="60" w:type="dxa"/>
            <w:vAlign w:val="bottom"/>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r>
      <w:tr>
        <w:trPr>
          <w:trHeight w:val="249"/>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4,720</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4,587</w:t>
            </w:r>
          </w:p>
        </w:tc>
        <w:tc>
          <w:tcPr>
            <w:tcW w:w="60" w:type="dxa"/>
            <w:vAlign w:val="bottom"/>
          </w:tcPr>
          <w:p>
            <w:pPr>
              <w:spacing w:after="0"/>
              <w:rPr>
                <w:sz w:val="21"/>
                <w:szCs w:val="21"/>
                <w:color w:val="auto"/>
              </w:rPr>
            </w:pPr>
          </w:p>
        </w:tc>
      </w:tr>
      <w:tr>
        <w:trPr>
          <w:trHeight w:val="196"/>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6"/>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WTW shareholders’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9,838</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13,260</w:t>
            </w:r>
          </w:p>
        </w:tc>
        <w:tc>
          <w:tcPr>
            <w:tcW w:w="60" w:type="dxa"/>
            <w:vAlign w:val="bottom"/>
          </w:tcPr>
          <w:p>
            <w:pPr>
              <w:spacing w:after="0"/>
              <w:rPr>
                <w:sz w:val="22"/>
                <w:szCs w:val="22"/>
                <w:color w:val="auto"/>
              </w:rPr>
            </w:pPr>
          </w:p>
        </w:tc>
      </w:tr>
      <w:tr>
        <w:trPr>
          <w:trHeight w:val="412"/>
        </w:trPr>
        <w:tc>
          <w:tcPr>
            <w:tcW w:w="7620" w:type="dxa"/>
            <w:vAlign w:val="bottom"/>
          </w:tcPr>
          <w:p>
            <w:pPr>
              <w:ind w:left="20"/>
              <w:spacing w:after="0"/>
              <w:rPr>
                <w:sz w:val="20"/>
                <w:szCs w:val="20"/>
                <w:color w:val="auto"/>
              </w:rPr>
            </w:pPr>
            <w:r>
              <w:rPr>
                <w:rFonts w:ascii="Arial" w:cs="Arial" w:eastAsia="Arial" w:hAnsi="Arial"/>
                <w:sz w:val="18"/>
                <w:szCs w:val="18"/>
                <w:color w:val="auto"/>
              </w:rPr>
              <w:t>Capitalization ratio</w:t>
            </w:r>
          </w:p>
        </w:tc>
        <w:tc>
          <w:tcPr>
            <w:tcW w:w="240" w:type="dxa"/>
            <w:vAlign w:val="bottom"/>
          </w:tcPr>
          <w:p>
            <w:pPr>
              <w:spacing w:after="0"/>
              <w:rPr>
                <w:sz w:val="24"/>
                <w:szCs w:val="24"/>
                <w:color w:val="auto"/>
              </w:rPr>
            </w:pPr>
          </w:p>
        </w:tc>
        <w:tc>
          <w:tcPr>
            <w:tcW w:w="1700" w:type="dxa"/>
            <w:vAlign w:val="bottom"/>
            <w:gridSpan w:val="2"/>
          </w:tcPr>
          <w:p>
            <w:pPr>
              <w:jc w:val="right"/>
              <w:ind w:right="48"/>
              <w:spacing w:after="0"/>
              <w:rPr>
                <w:sz w:val="20"/>
                <w:szCs w:val="20"/>
                <w:color w:val="auto"/>
              </w:rPr>
            </w:pPr>
            <w:r>
              <w:rPr>
                <w:rFonts w:ascii="Arial" w:cs="Arial" w:eastAsia="Arial" w:hAnsi="Arial"/>
                <w:sz w:val="18"/>
                <w:szCs w:val="18"/>
                <w:color w:val="auto"/>
              </w:rPr>
              <w:t>32.4 %</w:t>
            </w:r>
          </w:p>
        </w:tc>
        <w:tc>
          <w:tcPr>
            <w:tcW w:w="3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25.7 %</w:t>
            </w:r>
          </w:p>
        </w:tc>
      </w:tr>
      <w:tr>
        <w:trPr>
          <w:trHeight w:val="20"/>
        </w:trPr>
        <w:tc>
          <w:tcPr>
            <w:tcW w:w="7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-624205</wp:posOffset>
            </wp:positionV>
            <wp:extent cx="111125" cy="1625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18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capitalization ratio increased from December 31, 2021 primarily due to $3.1 billion of share repurchases during the nine months ended September 30, 2022.</w:t>
      </w:r>
    </w:p>
    <w:p>
      <w:pPr>
        <w:spacing w:after="0" w:line="17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At September 30, 2022, our mandatory debt repayments over the next twelve months include $250 million outstanding on our 4.625% senior notes due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2022 and December 31, 2021, we were in compliance with all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Funds</w:t>
      </w:r>
    </w:p>
    <w:p>
      <w:pPr>
        <w:spacing w:after="0" w:line="161"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4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At September 30, 2022 and December 31, 2021, we had fiduciary funds of $3.3 billion and $3.4 billion, respectively, of which $744 million and $719 million, respectively, are attributable to our Willis Re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6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16"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and on May 25, 2022, approved a $1.0 billion increase to the existing share repurchase program. These increases brought the total approved authorization to $6.5 billion.</w:t>
      </w:r>
    </w:p>
    <w:p>
      <w:pPr>
        <w:spacing w:after="0" w:line="8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At September 30, 2022, approximately $1.8 billion remained on the current repurchase authority. The maximum number of shares that could be repurchased based on the closing price of our ordinary shares on September 30, 2022 of $200.94 was 8,872,858.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2022, the Company had the following share repurchase activity: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tcPr>
          <w:p>
            <w:pPr>
              <w:jc w:val="right"/>
              <w:ind w:right="9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00" w:type="dxa"/>
            <w:vAlign w:val="bottom"/>
          </w:tcPr>
          <w:p>
            <w:pPr>
              <w:jc w:val="right"/>
              <w:ind w:right="99"/>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30, 2022</w:t>
            </w:r>
          </w:p>
        </w:tc>
        <w:tc>
          <w:tcPr>
            <w:tcW w:w="340" w:type="dxa"/>
            <w:vAlign w:val="bottom"/>
          </w:tcPr>
          <w:p>
            <w:pPr>
              <w:spacing w:after="0"/>
              <w:rPr>
                <w:sz w:val="16"/>
                <w:szCs w:val="16"/>
                <w:color w:val="auto"/>
              </w:rPr>
            </w:pPr>
          </w:p>
        </w:tc>
        <w:tc>
          <w:tcPr>
            <w:tcW w:w="1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repurchased</w:t>
            </w:r>
          </w:p>
        </w:tc>
        <w:tc>
          <w:tcPr>
            <w:tcW w:w="30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1,788,525</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13,792,853</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Average price per share</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$206.38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$224.01</w:t>
            </w: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repurchase cost (excluding broker costs)</w:t>
            </w:r>
          </w:p>
        </w:tc>
        <w:tc>
          <w:tcPr>
            <w:tcW w:w="30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 million</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billion</w:t>
            </w:r>
          </w:p>
        </w:tc>
      </w:tr>
      <w:tr>
        <w:trPr>
          <w:trHeight w:val="755"/>
        </w:trPr>
        <w:tc>
          <w:tcPr>
            <w:tcW w:w="4620" w:type="dxa"/>
            <w:vAlign w:val="bottom"/>
          </w:tcPr>
          <w:p>
            <w:pPr>
              <w:spacing w:after="0"/>
              <w:rPr>
                <w:sz w:val="24"/>
                <w:szCs w:val="24"/>
                <w:color w:val="auto"/>
              </w:rPr>
            </w:pPr>
          </w:p>
        </w:tc>
        <w:tc>
          <w:tcPr>
            <w:tcW w:w="3020" w:type="dxa"/>
            <w:vAlign w:val="bottom"/>
          </w:tcPr>
          <w:p>
            <w:pPr>
              <w:jc w:val="right"/>
              <w:ind w:right="1830"/>
              <w:spacing w:after="0"/>
              <w:rPr>
                <w:sz w:val="20"/>
                <w:szCs w:val="20"/>
                <w:color w:val="auto"/>
              </w:rPr>
            </w:pPr>
            <w:r>
              <w:rPr>
                <w:rFonts w:ascii="Arial" w:cs="Arial" w:eastAsia="Arial" w:hAnsi="Arial"/>
                <w:sz w:val="18"/>
                <w:szCs w:val="18"/>
                <w:color w:val="auto"/>
              </w:rPr>
              <w:t>44</w:t>
            </w: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85"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Capital Commitments</w:t>
      </w:r>
    </w:p>
    <w:p>
      <w:pPr>
        <w:spacing w:after="0" w:line="175" w:lineRule="exact"/>
        <w:rPr>
          <w:sz w:val="20"/>
          <w:szCs w:val="20"/>
          <w:color w:val="auto"/>
        </w:rPr>
      </w:pPr>
    </w:p>
    <w:p>
      <w:pPr>
        <w:jc w:val="both"/>
        <w:ind w:right="280"/>
        <w:spacing w:after="0" w:line="281" w:lineRule="auto"/>
        <w:rPr>
          <w:sz w:val="20"/>
          <w:szCs w:val="20"/>
          <w:color w:val="auto"/>
        </w:rPr>
      </w:pPr>
      <w:r>
        <w:rPr>
          <w:rFonts w:ascii="Arial" w:cs="Arial" w:eastAsia="Arial" w:hAnsi="Arial"/>
          <w:sz w:val="16"/>
          <w:szCs w:val="16"/>
          <w:color w:val="auto"/>
        </w:rPr>
        <w:t>Capital expenditures for fixed assets and software for internal use were $100 million during the nine months ended September 30, 2022. The Company estimates that there will be additional such expenditures, which includes those incurred under its Transformation program, in the range of $40 million to $60 million during the remainder of 2022. We currently expect cash from operations to adequately provide for these cash needs. There have been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to our capital commitments since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cash dividends of $280 million were paid during the nine months ended September 30, 2022. In August 2022, the board of directors approved a quarterly cash dividend of $0.82 per share ($3.28 per share annualized rate), which was paid on October 17, 2022 to shareholders of record as of September 30, 2022.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WTW has issued the following debt securities (the ‘notes’):</w:t>
      </w:r>
    </w:p>
    <w:p>
      <w:pPr>
        <w:spacing w:after="0" w:line="103" w:lineRule="exact"/>
        <w:rPr>
          <w:sz w:val="20"/>
          <w:szCs w:val="20"/>
          <w:color w:val="auto"/>
        </w:rPr>
      </w:pPr>
    </w:p>
    <w:p>
      <w:pPr>
        <w:jc w:val="both"/>
        <w:ind w:left="760" w:right="100" w:hanging="378"/>
        <w:spacing w:after="0" w:line="24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Willis North America Inc. (‘Willis North America’) has approximately $3.7 billion senior notes outstanding, of which $650 million were issued on May 16, 2017, $1.0 billion were issued on September 10, 2018, $1.0 billion were issued on September 10, 2019, $275 million were issued on May 29, 2020, and $750 million were issued on May 19, 2022; and</w:t>
      </w:r>
    </w:p>
    <w:p>
      <w:pPr>
        <w:spacing w:after="0" w:line="89" w:lineRule="exact"/>
        <w:rPr>
          <w:rFonts w:ascii="Arial" w:cs="Arial" w:eastAsia="Arial" w:hAnsi="Arial"/>
          <w:sz w:val="18"/>
          <w:szCs w:val="18"/>
          <w:color w:val="auto"/>
        </w:rPr>
      </w:pPr>
    </w:p>
    <w:p>
      <w:pPr>
        <w:jc w:val="both"/>
        <w:ind w:left="760" w:right="60" w:hanging="378"/>
        <w:spacing w:after="0" w:line="324"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Trinity Acquisition plc has approximately $1.1 billion senior notes outstanding, of which $525 million were issued on August 15, 2013 and $550 million were issued on March 22, 2016, and a $1.5 billion revolving credit facility, on which no balance was outstanding at September 30, 2022.</w:t>
      </w:r>
    </w:p>
    <w:p>
      <w:pPr>
        <w:spacing w:after="0" w:line="70"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The following table presents a summary of the entities that issue each note and those wholly-owned subsidiaries of the Company that guarantee each respective note on a joint and several basis as of September 30, 2022. These subsidiaries are all consolidated by Willis Towers Watson plc (the ‘parent company’) and together with the parent company comprise the ‘Obligor group’.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2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Trinity Acquisition plc</w:t>
            </w:r>
          </w:p>
        </w:tc>
        <w:tc>
          <w:tcPr>
            <w:tcW w:w="2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Willis North America Inc.</w:t>
            </w:r>
          </w:p>
        </w:tc>
        <w:tc>
          <w:tcPr>
            <w:tcW w:w="0" w:type="dxa"/>
            <w:vAlign w:val="bottom"/>
          </w:tcPr>
          <w:p>
            <w:pPr>
              <w:spacing w:after="0"/>
              <w:rPr>
                <w:sz w:val="1"/>
                <w:szCs w:val="1"/>
                <w:color w:val="auto"/>
              </w:rPr>
            </w:pPr>
          </w:p>
        </w:tc>
      </w:tr>
      <w:tr>
        <w:trPr>
          <w:trHeight w:val="185"/>
        </w:trPr>
        <w:tc>
          <w:tcPr>
            <w:tcW w:w="73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2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Towers Watson plc</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Trinity Acquisition plc</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Issuer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North America Inc.</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Issuer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Willis Netherlands Holdings B.V.</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Investment UK Holdings Limited</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TA I Limited</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Group Limited</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Willis Towers Watson Sub Holdings Unlimited Company</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Towers Watson UK Holdings Limited</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notes issued by Willis North America and Trinity Acquisition plc:</w:t>
      </w:r>
    </w:p>
    <w:p>
      <w:pPr>
        <w:spacing w:after="0" w:line="103"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 equally with all of the issuer’s existing and future unsubordinated and unsecured debt;</w:t>
      </w:r>
    </w:p>
    <w:p>
      <w:pPr>
        <w:spacing w:after="0" w:line="103" w:lineRule="exact"/>
        <w:rPr>
          <w:rFonts w:ascii="Arial" w:cs="Arial" w:eastAsia="Arial" w:hAnsi="Arial"/>
          <w:sz w:val="18"/>
          <w:szCs w:val="18"/>
          <w:color w:val="auto"/>
        </w:rPr>
      </w:pPr>
    </w:p>
    <w:p>
      <w:pPr>
        <w:ind w:left="760" w:right="16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 equally with the issuer’s guarantee of all of the existing senior debt of the Company and the other guarantors, including any debt under the Revolving Credit Facility;</w:t>
      </w:r>
    </w:p>
    <w:p>
      <w:pPr>
        <w:spacing w:after="0" w:line="48"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senior in right of payment to all of the issuer’s future subordinated debt;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effectively subordinated to all of the issuer’s secured debt to the extent of the value of the assets securing such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All other subsidiaries of the parent company are non-guarantor subsidiaries (‘the non-guarantor subsidiaries’).</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September 30, 2022 and December 31, 2021,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5" w:name="page46"/>
    <w:bookmarkEnd w:id="45"/>
    <w:p>
      <w:pPr>
        <w:ind w:right="20"/>
        <w:spacing w:after="0" w:line="267" w:lineRule="auto"/>
        <w:rPr>
          <w:sz w:val="20"/>
          <w:szCs w:val="20"/>
          <w:color w:val="auto"/>
        </w:rPr>
      </w:pPr>
      <w:r>
        <w:rPr>
          <w:rFonts w:ascii="Arial" w:cs="Arial" w:eastAsia="Arial" w:hAnsi="Arial"/>
          <w:sz w:val="17"/>
          <w:szCs w:val="17"/>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1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September 30, 2022 and December 31, 2021, the intercompany balances of the Obligor group with non-guarantor subsidiaries were net receivables of $600 million and $700 million, respectively, and net payables of $10.1 billion and $8.1 billion,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certain summarized financial information for the Obligor group.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675"/>
              <w:spacing w:after="0"/>
              <w:rPr>
                <w:sz w:val="20"/>
                <w:szCs w:val="20"/>
                <w:color w:val="auto"/>
              </w:rPr>
            </w:pPr>
            <w:r>
              <w:rPr>
                <w:rFonts w:ascii="Arial" w:cs="Arial" w:eastAsia="Arial" w:hAnsi="Arial"/>
                <w:sz w:val="14"/>
                <w:szCs w:val="14"/>
                <w:b w:val="1"/>
                <w:bCs w:val="1"/>
                <w:color w:val="auto"/>
              </w:rPr>
              <w:t>As of</w:t>
            </w:r>
          </w:p>
        </w:tc>
      </w:tr>
      <w:tr>
        <w:trPr>
          <w:trHeight w:val="185"/>
        </w:trPr>
        <w:tc>
          <w:tcPr>
            <w:tcW w:w="7660" w:type="dxa"/>
            <w:vAlign w:val="bottom"/>
          </w:tcPr>
          <w:p>
            <w:pPr>
              <w:ind w:left="37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4"/>
              </w:rPr>
              <w:t>September 30, 2022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0"/>
              </w:rPr>
              <w:t>December 31, 2021</w:t>
            </w:r>
          </w:p>
        </w:tc>
      </w:tr>
      <w:tr>
        <w:trPr>
          <w:trHeight w:val="169"/>
        </w:trPr>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ind w:left="1220"/>
              <w:spacing w:after="0"/>
              <w:rPr>
                <w:sz w:val="20"/>
                <w:szCs w:val="20"/>
                <w:color w:val="auto"/>
              </w:rPr>
            </w:pPr>
            <w:r>
              <w:rPr>
                <w:rFonts w:ascii="Arial" w:cs="Arial" w:eastAsia="Arial" w:hAnsi="Arial"/>
                <w:sz w:val="14"/>
                <w:szCs w:val="14"/>
                <w:b w:val="1"/>
                <w:bCs w:val="1"/>
                <w:color w:val="auto"/>
                <w:w w:val="91"/>
              </w:rPr>
              <w:t>(in millions)</w:t>
            </w:r>
          </w:p>
        </w:tc>
        <w:tc>
          <w:tcPr>
            <w:tcW w:w="1480" w:type="dxa"/>
            <w:vAlign w:val="bottom"/>
          </w:tcPr>
          <w:p>
            <w:pPr>
              <w:spacing w:after="0"/>
              <w:rPr>
                <w:sz w:val="14"/>
                <w:szCs w:val="14"/>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199</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243</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Total non-current assets</w:t>
            </w: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862</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8,379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7,747</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6,593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5,298</w:t>
            </w:r>
          </w:p>
        </w:tc>
      </w:tr>
      <w:tr>
        <w:trPr>
          <w:trHeight w:val="543"/>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2022</w:t>
            </w:r>
          </w:p>
        </w:tc>
      </w:tr>
      <w:tr>
        <w:trPr>
          <w:trHeight w:val="169"/>
        </w:trPr>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615"/>
              <w:spacing w:after="0"/>
              <w:rPr>
                <w:sz w:val="20"/>
                <w:szCs w:val="20"/>
                <w:color w:val="auto"/>
              </w:rPr>
            </w:pPr>
            <w:r>
              <w:rPr>
                <w:rFonts w:ascii="Arial" w:cs="Arial" w:eastAsia="Arial" w:hAnsi="Arial"/>
                <w:sz w:val="14"/>
                <w:szCs w:val="14"/>
                <w:b w:val="1"/>
                <w:bCs w:val="1"/>
                <w:color w:val="auto"/>
                <w:w w:val="96"/>
              </w:rPr>
              <w:t>(in millions)</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1,894</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1,489</w:t>
            </w:r>
          </w:p>
        </w:tc>
      </w:tr>
      <w:tr>
        <w:trPr>
          <w:trHeight w:val="216"/>
        </w:trPr>
        <w:tc>
          <w:tcPr>
            <w:tcW w:w="766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Income from operations before income taxes </w:t>
            </w:r>
            <w:r>
              <w:rPr>
                <w:rFonts w:ascii="Arial" w:cs="Arial" w:eastAsia="Arial" w:hAnsi="Arial"/>
                <w:sz w:val="24"/>
                <w:szCs w:val="24"/>
                <w:color w:val="auto"/>
                <w:vertAlign w:val="superscript"/>
              </w:rPr>
              <w:t>(i)</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1,097</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1,240</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ind w:left="280" w:right="2180" w:hanging="5525"/>
        <w:spacing w:after="0" w:line="520" w:lineRule="auto"/>
        <w:tabs>
          <w:tab w:leader="none" w:pos="260" w:val="left"/>
        </w:tabs>
        <w:rPr>
          <w:sz w:val="20"/>
          <w:szCs w:val="20"/>
          <w:color w:val="auto"/>
        </w:rPr>
      </w:pPr>
      <w:r>
        <w:rPr>
          <w:rFonts w:ascii="Arial" w:cs="Arial" w:eastAsia="Arial" w:hAnsi="Arial"/>
          <w:sz w:val="14"/>
          <w:szCs w:val="14"/>
          <w:color w:val="auto"/>
        </w:rPr>
        <w:t>(i)</w:t>
        <w:tab/>
        <w:t xml:space="preserve">Includes intercompany expense, net of the Obligor group from non-guarantor subsidiaries of $81 million for the nine months ended September 30, 2022. </w:t>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right="220"/>
        <w:spacing w:after="0" w:line="247" w:lineRule="auto"/>
        <w:rPr>
          <w:sz w:val="20"/>
          <w:szCs w:val="20"/>
          <w:color w:val="auto"/>
        </w:rPr>
      </w:pPr>
      <w:r>
        <w:rPr>
          <w:rFonts w:ascii="Arial" w:cs="Arial" w:eastAsia="Arial" w:hAnsi="Arial"/>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Most Directly Comparable U.S. GAAP Measure</w:t>
            </w:r>
          </w:p>
        </w:tc>
        <w:tc>
          <w:tcPr>
            <w:tcW w:w="6340" w:type="dxa"/>
            <w:vAlign w:val="bottom"/>
          </w:tcPr>
          <w:p>
            <w:pPr>
              <w:ind w:left="860"/>
              <w:spacing w:after="0"/>
              <w:rPr>
                <w:sz w:val="20"/>
                <w:szCs w:val="20"/>
                <w:color w:val="auto"/>
              </w:rPr>
            </w:pPr>
            <w:r>
              <w:rPr>
                <w:rFonts w:ascii="Arial" w:cs="Arial" w:eastAsia="Arial" w:hAnsi="Arial"/>
                <w:sz w:val="18"/>
                <w:szCs w:val="18"/>
                <w:b w:val="1"/>
                <w:bCs w:val="1"/>
                <w:color w:val="auto"/>
              </w:rPr>
              <w:t>Non-GAAP Measure</w:t>
            </w: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reported change</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Constant currency change</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As reported change</w:t>
            </w:r>
          </w:p>
        </w:tc>
        <w:tc>
          <w:tcPr>
            <w:tcW w:w="6340" w:type="dxa"/>
            <w:vAlign w:val="bottom"/>
          </w:tcPr>
          <w:p>
            <w:pPr>
              <w:ind w:left="860"/>
              <w:spacing w:after="0"/>
              <w:rPr>
                <w:sz w:val="20"/>
                <w:szCs w:val="20"/>
                <w:color w:val="auto"/>
              </w:rPr>
            </w:pPr>
            <w:r>
              <w:rPr>
                <w:rFonts w:ascii="Arial" w:cs="Arial" w:eastAsia="Arial" w:hAnsi="Arial"/>
                <w:sz w:val="18"/>
                <w:szCs w:val="18"/>
                <w:color w:val="auto"/>
              </w:rPr>
              <w:t>Organic change</w:t>
            </w: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operations/margin</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Adjusted operating income/margin</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Net income/margin</w:t>
            </w:r>
          </w:p>
        </w:tc>
        <w:tc>
          <w:tcPr>
            <w:tcW w:w="6340" w:type="dxa"/>
            <w:vAlign w:val="bottom"/>
          </w:tcPr>
          <w:p>
            <w:pPr>
              <w:ind w:left="860"/>
              <w:spacing w:after="0"/>
              <w:rPr>
                <w:sz w:val="20"/>
                <w:szCs w:val="20"/>
                <w:color w:val="auto"/>
              </w:rPr>
            </w:pPr>
            <w:r>
              <w:rPr>
                <w:rFonts w:ascii="Arial" w:cs="Arial" w:eastAsia="Arial" w:hAnsi="Arial"/>
                <w:sz w:val="18"/>
                <w:szCs w:val="18"/>
                <w:color w:val="auto"/>
              </w:rPr>
              <w:t>Adjusted EBITDA/margin</w:t>
            </w: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Adjusted net income</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6340" w:type="dxa"/>
            <w:vAlign w:val="bottom"/>
          </w:tcPr>
          <w:p>
            <w:pPr>
              <w:ind w:left="860"/>
              <w:spacing w:after="0"/>
              <w:rPr>
                <w:sz w:val="20"/>
                <w:szCs w:val="20"/>
                <w:color w:val="auto"/>
              </w:rPr>
            </w:pPr>
            <w:r>
              <w:rPr>
                <w:rFonts w:ascii="Arial" w:cs="Arial" w:eastAsia="Arial" w:hAnsi="Arial"/>
                <w:sz w:val="18"/>
                <w:szCs w:val="18"/>
                <w:color w:val="auto"/>
              </w:rPr>
              <w:t>Adjusted diluted earnings per share</w:t>
            </w: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Adjusted income before taxes</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Provision for income taxes/U.S. GAAP tax rate</w:t>
            </w:r>
          </w:p>
        </w:tc>
        <w:tc>
          <w:tcPr>
            <w:tcW w:w="6340" w:type="dxa"/>
            <w:vAlign w:val="bottom"/>
          </w:tcPr>
          <w:p>
            <w:pPr>
              <w:ind w:left="860"/>
              <w:spacing w:after="0"/>
              <w:rPr>
                <w:sz w:val="20"/>
                <w:szCs w:val="20"/>
                <w:color w:val="auto"/>
              </w:rPr>
            </w:pPr>
            <w:r>
              <w:rPr>
                <w:rFonts w:ascii="Arial" w:cs="Arial" w:eastAsia="Arial" w:hAnsi="Arial"/>
                <w:sz w:val="18"/>
                <w:szCs w:val="18"/>
                <w:color w:val="auto"/>
              </w:rPr>
              <w:t>Adjusted income taxes/tax rate</w:t>
            </w: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from operating activities</w:t>
            </w:r>
          </w:p>
        </w:tc>
        <w:tc>
          <w:tcPr>
            <w:tcW w:w="63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Free cash flow</w:t>
            </w:r>
          </w:p>
        </w:tc>
      </w:tr>
    </w:tbl>
    <w:p>
      <w:pPr>
        <w:spacing w:after="0" w:line="188" w:lineRule="exact"/>
        <w:rPr>
          <w:sz w:val="20"/>
          <w:szCs w:val="20"/>
          <w:color w:val="auto"/>
        </w:rPr>
      </w:pPr>
    </w:p>
    <w:p>
      <w:pPr>
        <w:ind w:right="100"/>
        <w:spacing w:after="0" w:line="376" w:lineRule="auto"/>
        <w:rPr>
          <w:sz w:val="20"/>
          <w:szCs w:val="20"/>
          <w:color w:val="auto"/>
        </w:rPr>
      </w:pPr>
      <w:r>
        <w:rPr>
          <w:rFonts w:ascii="Arial" w:cs="Arial" w:eastAsia="Arial" w:hAnsi="Arial"/>
          <w:sz w:val="16"/>
          <w:szCs w:val="16"/>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These items include the following:</w:t>
      </w:r>
    </w:p>
    <w:p>
      <w:pPr>
        <w:spacing w:after="0" w:line="68" w:lineRule="exact"/>
        <w:rPr>
          <w:sz w:val="20"/>
          <w:szCs w:val="20"/>
          <w:color w:val="auto"/>
        </w:rPr>
      </w:pPr>
    </w:p>
    <w:p>
      <w:pPr>
        <w:ind w:left="760" w:right="2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from discontinued operations, net of tax – Adjustment to remove the after-tax income from discontinued operations and the after-tax gain attributable to the divestiture of our Willis Re business.</w:t>
      </w:r>
    </w:p>
    <w:p>
      <w:pPr>
        <w:spacing w:after="0" w:line="62" w:lineRule="exact"/>
        <w:rPr>
          <w:rFonts w:ascii="Arial" w:cs="Arial" w:eastAsia="Arial" w:hAnsi="Arial"/>
          <w:sz w:val="18"/>
          <w:szCs w:val="18"/>
          <w:color w:val="auto"/>
        </w:rPr>
      </w:pPr>
    </w:p>
    <w:p>
      <w:pPr>
        <w:ind w:left="760" w:right="540" w:hanging="378"/>
        <w:spacing w:after="0" w:line="289"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Restructuring costs and transaction and transformation, net – Management believes it is appropriate to adjust for restructuring costs and transaction and transformation, net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57" w:lineRule="exact"/>
        <w:rPr>
          <w:rFonts w:ascii="Arial" w:cs="Arial" w:eastAsia="Arial" w:hAnsi="Arial"/>
          <w:sz w:val="16"/>
          <w:szCs w:val="16"/>
          <w:color w:val="auto"/>
        </w:rPr>
      </w:pPr>
    </w:p>
    <w:p>
      <w:pPr>
        <w:ind w:left="760" w:hanging="378"/>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Impairment – Adjustment to remove the impairment related to the net assets of our Russian business that are held outside of our Russian entities.</w:t>
      </w:r>
    </w:p>
    <w:p>
      <w:pPr>
        <w:spacing w:after="0" w:line="126" w:lineRule="exact"/>
        <w:rPr>
          <w:rFonts w:ascii="Arial" w:cs="Arial" w:eastAsia="Arial" w:hAnsi="Arial"/>
          <w:sz w:val="16"/>
          <w:szCs w:val="16"/>
          <w:color w:val="auto"/>
        </w:rPr>
      </w:pPr>
    </w:p>
    <w:p>
      <w:pPr>
        <w:ind w:left="760" w:right="34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Gains and losses on disposals of operations – Adjustment to remove the gains or losses resulting from disposed operations that have not been classified as discontinued operations.</w:t>
      </w:r>
    </w:p>
    <w:p>
      <w:pPr>
        <w:spacing w:after="0" w:line="75"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Pension settlement and curtailment gains and losses – Adjustment to remove significant pension settlement and curtailment gains and losses to better present how the Company is performing.</w:t>
      </w:r>
    </w:p>
    <w:p>
      <w:pPr>
        <w:spacing w:after="0" w:line="62" w:lineRule="exact"/>
        <w:rPr>
          <w:rFonts w:ascii="Arial" w:cs="Arial" w:eastAsia="Arial" w:hAnsi="Arial"/>
          <w:sz w:val="18"/>
          <w:szCs w:val="18"/>
          <w:color w:val="auto"/>
        </w:rPr>
      </w:pPr>
    </w:p>
    <w:p>
      <w:pPr>
        <w:ind w:left="760" w:right="62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for significant litigation – We will include provisions for litigation matters which we believe are not representative of our core business operations. These amounts are presented net of insurance and other recovery receivables.</w:t>
      </w:r>
    </w:p>
    <w:p>
      <w:pPr>
        <w:spacing w:after="0" w:line="48"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effect of the CARES Act – Relates to the incremental tax expense or benefit, primarily from the Base Erosion and Anti-Abuse Tax (‘BEAT’), generated from electing or changing elections of certain income tax provisions available under the CARES Act.</w:t>
      </w:r>
    </w:p>
    <w:p>
      <w:pPr>
        <w:spacing w:after="0" w:line="75" w:lineRule="exact"/>
        <w:rPr>
          <w:rFonts w:ascii="Arial" w:cs="Arial" w:eastAsia="Arial" w:hAnsi="Arial"/>
          <w:sz w:val="18"/>
          <w:szCs w:val="18"/>
          <w:color w:val="auto"/>
        </w:rPr>
      </w:pPr>
    </w:p>
    <w:p>
      <w:pPr>
        <w:ind w:left="760" w:right="20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effects of internal reorganizations – Relates to the U.S. income tax expense resulting from the completion of internal reorganizations of the ownership of certain businesses that reduced the investments held by our U.S.-controlled subsidiaries.</w:t>
      </w:r>
    </w:p>
    <w:p>
      <w:pPr>
        <w:spacing w:after="0" w:line="11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Constant Currency Change and Organic Change</w:t>
      </w:r>
    </w:p>
    <w:p>
      <w:pPr>
        <w:spacing w:after="0" w:line="171"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16" w:lineRule="exact"/>
        <w:rPr>
          <w:sz w:val="20"/>
          <w:szCs w:val="20"/>
          <w:color w:val="auto"/>
        </w:rPr>
      </w:pPr>
    </w:p>
    <w:p>
      <w:pPr>
        <w:ind w:left="760" w:right="100" w:hanging="378"/>
        <w:spacing w:after="0" w:line="263"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Constant currency change - </w:t>
      </w:r>
      <w:r>
        <w:rPr>
          <w:rFonts w:ascii="Arial" w:cs="Arial" w:eastAsia="Arial" w:hAnsi="Arial"/>
          <w:sz w:val="17"/>
          <w:szCs w:val="17"/>
          <w:color w:val="auto"/>
        </w:rPr>
        <w:t>Represents the year-over-year change in revenue excluding the impact of foreign currency fluctuations. To calculate</w:t>
      </w:r>
      <w:r>
        <w:rPr>
          <w:rFonts w:ascii="Arial" w:cs="Arial" w:eastAsia="Arial" w:hAnsi="Arial"/>
          <w:sz w:val="17"/>
          <w:szCs w:val="17"/>
          <w:i w:val="1"/>
          <w:iCs w:val="1"/>
          <w:color w:val="auto"/>
        </w:rPr>
        <w:t xml:space="preserve"> </w:t>
      </w:r>
      <w:r>
        <w:rPr>
          <w:rFonts w:ascii="Arial" w:cs="Arial" w:eastAsia="Arial" w:hAnsi="Arial"/>
          <w:sz w:val="17"/>
          <w:szCs w:val="17"/>
          <w:color w:val="auto"/>
        </w:rPr>
        <w:t>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63" w:lineRule="exact"/>
        <w:rPr>
          <w:rFonts w:ascii="Arial" w:cs="Arial" w:eastAsia="Arial" w:hAnsi="Arial"/>
          <w:sz w:val="17"/>
          <w:szCs w:val="17"/>
          <w:color w:val="auto"/>
        </w:rPr>
      </w:pPr>
    </w:p>
    <w:p>
      <w:pPr>
        <w:ind w:left="760" w:hanging="378"/>
        <w:spacing w:after="0" w:line="245"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Organic change - </w:t>
      </w:r>
      <w:r>
        <w:rPr>
          <w:rFonts w:ascii="Arial" w:cs="Arial" w:eastAsia="Arial" w:hAnsi="Arial"/>
          <w:sz w:val="18"/>
          <w:szCs w:val="18"/>
          <w:color w:val="auto"/>
        </w:rPr>
        <w:t>Excludes the impact of fluctuations in foreign currency exchange rates as described above and the period-over-period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4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constant currency and organic change results, and a reconciliation from the reported results for consolidated revenue are included in the ‘Consolidated Revenue (Continuing Operations)’ section within this Form 10-Q. These measures are also reported by segment in the ‘Segment Revenue’ section within this Form 10-Q.</w:t>
      </w:r>
    </w:p>
    <w:p>
      <w:pPr>
        <w:spacing w:after="0" w:line="14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Reconciliations of the reported changes to the constant currency and organic changes for the three and nine months ended September 30, 2022 from the three and nine months ended September 30, 2021 are as follows. The components of revenue change may not add due to rounding.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6"/>
            <w:vMerge w:val="restart"/>
          </w:tcPr>
          <w:p>
            <w:pPr>
              <w:jc w:val="center"/>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w w:val="74"/>
              </w:rPr>
              <w:t>millions)</w:t>
            </w: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(1)%</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w:t>
            </w:r>
          </w:p>
        </w:tc>
        <w:tc>
          <w:tcPr>
            <w:tcW w:w="13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4%</w:t>
            </w: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(1)%</w:t>
            </w:r>
          </w:p>
        </w:tc>
        <w:tc>
          <w:tcPr>
            <w:tcW w:w="11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358"/>
        </w:trPr>
        <w:tc>
          <w:tcPr>
            <w:tcW w:w="19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6"/>
            <w:vMerge w:val="restart"/>
          </w:tcPr>
          <w:p>
            <w:pPr>
              <w:jc w:val="center"/>
              <w:ind w:right="380"/>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w w:val="97"/>
              </w:rPr>
              <w:t>($ in</w:t>
            </w:r>
          </w:p>
        </w:tc>
        <w:tc>
          <w:tcPr>
            <w:tcW w:w="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0"/>
              </w:rPr>
              <w:t>millions)</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6,292</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(4)%</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1%</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(2)%</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-906780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-889635</wp:posOffset>
            </wp:positionV>
            <wp:extent cx="76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-906780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-889635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-24765</wp:posOffset>
            </wp:positionV>
            <wp:extent cx="768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-7620</wp:posOffset>
            </wp:positionV>
            <wp:extent cx="768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-24765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-7620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7"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Adjusting for the impacts of foreign currency and acquisitions and disposals in the calculation of our organic activity, our revenue growth was 6% for the three months ended September 30, 2022 and 3% for the nine months ended September 30, 2022. These increases in organic revenue were driven by both segments.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Income/Margin</w:t>
      </w:r>
    </w:p>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48" w:name="page49"/>
    <w:bookmarkEnd w:id="48"/>
    <w:p>
      <w:pPr>
        <w:jc w:val="both"/>
        <w:ind w:right="100"/>
        <w:spacing w:after="0" w:line="255" w:lineRule="auto"/>
        <w:rPr>
          <w:sz w:val="20"/>
          <w:szCs w:val="20"/>
          <w:color w:val="auto"/>
        </w:rPr>
      </w:pPr>
      <w:r>
        <w:rPr>
          <w:rFonts w:ascii="Arial" w:cs="Arial" w:eastAsia="Arial" w:hAnsi="Arial"/>
          <w:sz w:val="18"/>
          <w:szCs w:val="18"/>
          <w:color w:val="auto"/>
        </w:rPr>
        <w:t>Adjusted operating income is defined as income from operations adjusted for impairment, amortization, restructuring costs, transaction and transformation, net and non-recurring items that, in management’s judgment, significantly affect the period-over-period assessment of operating results. Adjusted operating income margin is calculated by dividing adjusted operating income by revenue.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income from operations to adjusted operating income for the three and nine months ended September 30, 2022 and 2021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1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7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8"/>
              </w:rPr>
              <w:t>September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 in</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72"/>
              </w:rPr>
              <w:t>millions)</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4"/>
              </w:rPr>
              <w:t>1,131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1,512</w:t>
            </w:r>
          </w:p>
        </w:tc>
        <w:tc>
          <w:tcPr>
            <w:tcW w:w="60" w:type="dxa"/>
            <w:vAlign w:val="bottom"/>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Adjusted for certain items:</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7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80" w:type="dxa"/>
            <w:vAlign w:val="bottom"/>
          </w:tcPr>
          <w:p>
            <w:pPr>
              <w:spacing w:after="0"/>
              <w:rPr>
                <w:sz w:val="18"/>
                <w:szCs w:val="18"/>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Transaction and transformation, net</w:t>
            </w: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(952 )</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(877 )</w:t>
            </w:r>
          </w:p>
        </w:tc>
        <w:tc>
          <w:tcPr>
            <w:tcW w:w="60" w:type="dxa"/>
            <w:vAlign w:val="bottom"/>
          </w:tcPr>
          <w:p>
            <w:pPr>
              <w:spacing w:after="0"/>
              <w:rPr>
                <w:sz w:val="18"/>
                <w:szCs w:val="18"/>
                <w:color w:val="auto"/>
              </w:rPr>
            </w:pPr>
          </w:p>
        </w:tc>
      </w:tr>
      <w:tr>
        <w:trPr>
          <w:trHeight w:val="24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operating income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969</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21"/>
                <w:szCs w:val="21"/>
                <w:color w:val="auto"/>
              </w:rPr>
            </w:pPr>
          </w:p>
        </w:tc>
      </w:tr>
      <w:tr>
        <w:trPr>
          <w:trHeight w:val="439"/>
        </w:trPr>
        <w:tc>
          <w:tcPr>
            <w:tcW w:w="5740" w:type="dxa"/>
            <w:vAlign w:val="bottom"/>
          </w:tcPr>
          <w:p>
            <w:pPr>
              <w:ind w:left="20"/>
              <w:spacing w:after="0"/>
              <w:rPr>
                <w:sz w:val="20"/>
                <w:szCs w:val="20"/>
                <w:color w:val="auto"/>
              </w:rPr>
            </w:pPr>
            <w:r>
              <w:rPr>
                <w:rFonts w:ascii="Arial" w:cs="Arial" w:eastAsia="Arial" w:hAnsi="Arial"/>
                <w:sz w:val="18"/>
                <w:szCs w:val="18"/>
                <w:color w:val="auto"/>
              </w:rPr>
              <w:t>Income from operations margin</w:t>
            </w:r>
          </w:p>
        </w:tc>
        <w:tc>
          <w:tcPr>
            <w:tcW w:w="7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7.9 %</w:t>
            </w:r>
          </w:p>
        </w:tc>
        <w:tc>
          <w:tcPr>
            <w:tcW w:w="760" w:type="dxa"/>
            <w:vAlign w:val="bottom"/>
          </w:tcPr>
          <w:p>
            <w:pPr>
              <w:spacing w:after="0"/>
              <w:rPr>
                <w:sz w:val="24"/>
                <w:szCs w:val="24"/>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57.3 %</w:t>
            </w:r>
          </w:p>
        </w:tc>
        <w:tc>
          <w:tcPr>
            <w:tcW w:w="3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7.6 %</w:t>
            </w:r>
          </w:p>
        </w:tc>
        <w:tc>
          <w:tcPr>
            <w:tcW w:w="3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24.0 %</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Adjusted operating income margin</w:t>
            </w:r>
          </w:p>
        </w:tc>
        <w:tc>
          <w:tcPr>
            <w:tcW w:w="7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14.5 %</w:t>
            </w:r>
          </w:p>
        </w:tc>
        <w:tc>
          <w:tcPr>
            <w:tcW w:w="76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13.4 %</w:t>
            </w:r>
          </w:p>
        </w:tc>
        <w:tc>
          <w:tcPr>
            <w:tcW w:w="3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15.8 %</w:t>
            </w:r>
          </w:p>
        </w:tc>
        <w:tc>
          <w:tcPr>
            <w:tcW w:w="3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3168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67"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Adjusted operating income increased for the three months ended September 30, 2022 to $284 million, from $264 million for the three months ended September 30, 2021 and increased for the nine months ended September 30, 2022 to $969 million from $920 million for the nine months ended September 30, 2021. The increases in adjusted operating income for the quarter and first nine months of the year were primarily due to lower incentive and compensation costs in the current-year periods, partially offset by lower revenue, which was attributable to unfavorable foreign exchange and recent business disposals.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EBITDA/Margin</w:t>
      </w:r>
    </w:p>
    <w:p>
      <w:pPr>
        <w:spacing w:after="0" w:line="157" w:lineRule="exact"/>
        <w:rPr>
          <w:sz w:val="20"/>
          <w:szCs w:val="20"/>
          <w:color w:val="auto"/>
        </w:rPr>
      </w:pPr>
    </w:p>
    <w:p>
      <w:pPr>
        <w:ind w:right="780"/>
        <w:spacing w:after="0" w:line="324" w:lineRule="auto"/>
        <w:rPr>
          <w:sz w:val="20"/>
          <w:szCs w:val="20"/>
          <w:color w:val="auto"/>
        </w:rPr>
      </w:pPr>
      <w:r>
        <w:rPr>
          <w:rFonts w:ascii="Arial" w:cs="Arial" w:eastAsia="Arial" w:hAnsi="Arial"/>
          <w:sz w:val="16"/>
          <w:szCs w:val="16"/>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83"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Adjusted EBITDA is defined as net income adjusted for income from discontinued operations, net of tax, provision for income taxes, interest expense, impairment, depreciation and amortization, restructuring costs, transaction and transformation, net,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net income to adjusted EBITDA for the three and nine months ended September 30, 2022 and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4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8"/>
              </w:rPr>
              <w:t>September 30,</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71"/>
              <w:spacing w:after="0"/>
              <w:rPr>
                <w:sz w:val="20"/>
                <w:szCs w:val="20"/>
                <w:color w:val="auto"/>
              </w:rPr>
            </w:pPr>
            <w:r>
              <w:rPr>
                <w:rFonts w:ascii="Arial" w:cs="Arial" w:eastAsia="Arial" w:hAnsi="Arial"/>
                <w:sz w:val="14"/>
                <w:szCs w:val="14"/>
                <w:b w:val="1"/>
                <w:bCs w:val="1"/>
                <w:color w:val="auto"/>
              </w:rPr>
              <w:t>($ in</w:t>
            </w:r>
          </w:p>
        </w:tc>
        <w:tc>
          <w:tcPr>
            <w:tcW w:w="84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72"/>
              </w:rPr>
              <w:t>millions)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FF0FC"/>
          </w:tcPr>
          <w:p>
            <w:pPr>
              <w:jc w:val="right"/>
              <w:ind w:right="58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center"/>
              <w:ind w:right="4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1,829</w:t>
            </w:r>
          </w:p>
        </w:tc>
        <w:tc>
          <w:tcPr>
            <w:tcW w:w="60" w:type="dxa"/>
            <w:vAlign w:val="bottom"/>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(Income)/loss from discontinued operations, net of tax</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(247 )</w:t>
            </w:r>
          </w:p>
        </w:tc>
        <w:tc>
          <w:tcPr>
            <w:tcW w:w="60" w:type="dxa"/>
            <w:vAlign w:val="bottom"/>
          </w:tcPr>
          <w:p>
            <w:pPr>
              <w:spacing w:after="0"/>
              <w:rPr>
                <w:sz w:val="18"/>
                <w:szCs w:val="18"/>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and transformation, net</w:t>
            </w: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(952 )</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(877 )</w:t>
            </w:r>
          </w:p>
        </w:tc>
        <w:tc>
          <w:tcPr>
            <w:tcW w:w="60" w:type="dxa"/>
            <w:vAlign w:val="bottom"/>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(Gain)/loss on disposal of operations</w:t>
            </w:r>
          </w:p>
        </w:tc>
        <w:tc>
          <w:tcPr>
            <w:tcW w:w="10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(380 )</w:t>
            </w:r>
          </w:p>
        </w:tc>
        <w:tc>
          <w:tcPr>
            <w:tcW w:w="60" w:type="dxa"/>
            <w:vAlign w:val="bottom"/>
          </w:tcPr>
          <w:p>
            <w:pPr>
              <w:spacing w:after="0"/>
              <w:rPr>
                <w:sz w:val="18"/>
                <w:szCs w:val="18"/>
                <w:color w:val="auto"/>
              </w:rPr>
            </w:pPr>
          </w:p>
        </w:tc>
      </w:tr>
      <w:tr>
        <w:trPr>
          <w:trHeight w:val="249"/>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10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8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408</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415</w:t>
            </w:r>
          </w:p>
        </w:tc>
        <w:tc>
          <w:tcPr>
            <w:tcW w:w="1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center"/>
              <w:ind w:right="49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8"/>
              </w:rPr>
              <w:t>1,376</w:t>
            </w:r>
          </w:p>
        </w:tc>
        <w:tc>
          <w:tcPr>
            <w:tcW w:w="1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1,369</w:t>
            </w:r>
          </w:p>
        </w:tc>
        <w:tc>
          <w:tcPr>
            <w:tcW w:w="60" w:type="dxa"/>
            <w:vAlign w:val="bottom"/>
          </w:tcPr>
          <w:p>
            <w:pPr>
              <w:spacing w:after="0"/>
              <w:rPr>
                <w:sz w:val="21"/>
                <w:szCs w:val="21"/>
                <w:color w:val="auto"/>
              </w:rPr>
            </w:pPr>
          </w:p>
        </w:tc>
      </w:tr>
      <w:tr>
        <w:trPr>
          <w:trHeight w:val="439"/>
        </w:trPr>
        <w:tc>
          <w:tcPr>
            <w:tcW w:w="4820" w:type="dxa"/>
            <w:vAlign w:val="bottom"/>
          </w:tcPr>
          <w:p>
            <w:pPr>
              <w:ind w:left="20"/>
              <w:spacing w:after="0"/>
              <w:rPr>
                <w:sz w:val="20"/>
                <w:szCs w:val="20"/>
                <w:color w:val="auto"/>
              </w:rPr>
            </w:pPr>
            <w:r>
              <w:rPr>
                <w:rFonts w:ascii="Arial" w:cs="Arial" w:eastAsia="Arial" w:hAnsi="Arial"/>
                <w:sz w:val="18"/>
                <w:szCs w:val="18"/>
                <w:color w:val="auto"/>
              </w:rPr>
              <w:t>Net income margin</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9.8 %</w:t>
            </w:r>
          </w:p>
        </w:tc>
        <w:tc>
          <w:tcPr>
            <w:tcW w:w="760" w:type="dxa"/>
            <w:vAlign w:val="bottom"/>
          </w:tcPr>
          <w:p>
            <w:pPr>
              <w:spacing w:after="0"/>
              <w:rPr>
                <w:sz w:val="24"/>
                <w:szCs w:val="24"/>
                <w:color w:val="auto"/>
              </w:rPr>
            </w:pPr>
          </w:p>
        </w:tc>
        <w:tc>
          <w:tcPr>
            <w:tcW w:w="62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46.0 %</w:t>
            </w:r>
          </w:p>
        </w:tc>
        <w:tc>
          <w:tcPr>
            <w:tcW w:w="7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7.0 %</w:t>
            </w:r>
          </w:p>
        </w:tc>
        <w:tc>
          <w:tcPr>
            <w:tcW w:w="7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29.1 %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20.9 %</w:t>
            </w:r>
          </w:p>
        </w:tc>
        <w:tc>
          <w:tcPr>
            <w:tcW w:w="760" w:type="dxa"/>
            <w:vAlign w:val="bottom"/>
          </w:tcPr>
          <w:p>
            <w:pPr>
              <w:spacing w:after="0"/>
              <w:rPr>
                <w:sz w:val="20"/>
                <w:szCs w:val="20"/>
                <w:color w:val="auto"/>
              </w:rPr>
            </w:pPr>
          </w:p>
        </w:tc>
        <w:tc>
          <w:tcPr>
            <w:tcW w:w="62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21.0 %</w:t>
            </w:r>
          </w:p>
        </w:tc>
        <w:tc>
          <w:tcPr>
            <w:tcW w:w="7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22.4 %</w:t>
            </w:r>
          </w:p>
        </w:tc>
        <w:tc>
          <w:tcPr>
            <w:tcW w:w="7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21.8 %</w:t>
            </w:r>
          </w:p>
        </w:tc>
      </w:tr>
      <w:tr>
        <w:trPr>
          <w:trHeight w:val="592"/>
        </w:trPr>
        <w:tc>
          <w:tcPr>
            <w:tcW w:w="48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-923925</wp:posOffset>
            </wp:positionV>
            <wp:extent cx="7132320" cy="3168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89" w:right="279" w:bottom="1440" w:gutter="0" w:footer="0" w:header="0"/>
        </w:sectPr>
      </w:pPr>
    </w:p>
    <w:bookmarkStart w:id="49" w:name="page50"/>
    <w:bookmarkEnd w:id="49"/>
    <w:p>
      <w:pPr>
        <w:ind w:right="100"/>
        <w:spacing w:after="0" w:line="246" w:lineRule="auto"/>
        <w:rPr>
          <w:sz w:val="20"/>
          <w:szCs w:val="20"/>
          <w:color w:val="auto"/>
        </w:rPr>
      </w:pPr>
      <w:r>
        <w:rPr>
          <w:rFonts w:ascii="Arial" w:cs="Arial" w:eastAsia="Arial" w:hAnsi="Arial"/>
          <w:sz w:val="18"/>
          <w:szCs w:val="18"/>
          <w:color w:val="auto"/>
        </w:rPr>
        <w:t>Adjusted EBITDA for the three months ended September 30, 2022 was $408 million, compared to $415 million for the three months ended September 30, 2021, and was $1.4 billion for both the nine months ended September 30, 2022 and 2021, an increase of $7 million. The decrease in adjusted EBITDA for the quarter was primarily due to lower revenue and lower pension income in the current-year period, partially offset by lower incentive and compensation costs for the period. The increase in adjusted EBITDA for the first nine months of the year was driven by reductions in compensation costs, partially offset by lower revenue, which was attributable to unfavorable foreign exchange and recent business disposals and lower pension income in the current-year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Diluted Earnings Per Share</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Adjusted net income is defined as net income attributable to WTW adjusted for income from discontinued operations, net of tax, impairment, amortization, restructuring costs, transaction and transformation, net, gains and losses on disposals of operations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31" w:lineRule="exact"/>
        <w:rPr>
          <w:sz w:val="20"/>
          <w:szCs w:val="20"/>
          <w:color w:val="auto"/>
        </w:rPr>
      </w:pPr>
    </w:p>
    <w:p>
      <w:pPr>
        <w:jc w:val="both"/>
        <w:ind w:right="660"/>
        <w:spacing w:after="0" w:line="247" w:lineRule="auto"/>
        <w:rPr>
          <w:sz w:val="20"/>
          <w:szCs w:val="20"/>
          <w:color w:val="auto"/>
        </w:rPr>
      </w:pPr>
      <w:r>
        <w:rPr>
          <w:rFonts w:ascii="Arial" w:cs="Arial" w:eastAsia="Arial" w:hAnsi="Arial"/>
          <w:sz w:val="18"/>
          <w:szCs w:val="18"/>
          <w:color w:val="auto"/>
        </w:rPr>
        <w:t>Adjusted diluted earnings per share is defined as adjusted net income divided by the weighted-average number of shares of common stock, diluted. Adjusted diluted earnings per share is used to internally evaluate and assess our core operations and to benchmark our operating results against our competitors.</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8"/>
          <w:szCs w:val="18"/>
          <w:color w:val="auto"/>
        </w:rPr>
        <w:t>Reconciliations of net income attributable to WTW to adjusted diluted earnings per share for the three and nine months ended September 30, 2022 and 2021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4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2021</w:t>
            </w:r>
          </w:p>
        </w:tc>
      </w:tr>
      <w:tr>
        <w:trPr>
          <w:trHeight w:val="169"/>
        </w:trPr>
        <w:tc>
          <w:tcPr>
            <w:tcW w:w="5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right"/>
              <w:ind w:right="91"/>
              <w:spacing w:after="0"/>
              <w:rPr>
                <w:sz w:val="20"/>
                <w:szCs w:val="20"/>
                <w:color w:val="auto"/>
              </w:rPr>
            </w:pPr>
            <w:r>
              <w:rPr>
                <w:rFonts w:ascii="Arial" w:cs="Arial" w:eastAsia="Arial" w:hAnsi="Arial"/>
                <w:sz w:val="14"/>
                <w:szCs w:val="14"/>
                <w:b w:val="1"/>
                <w:bCs w:val="1"/>
                <w:color w:val="auto"/>
              </w:rPr>
              <w:t>($ in</w:t>
            </w:r>
          </w:p>
        </w:tc>
        <w:tc>
          <w:tcPr>
            <w:tcW w:w="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74"/>
              </w:rPr>
              <w:t>millions)</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190</w:t>
            </w:r>
          </w:p>
        </w:tc>
        <w:tc>
          <w:tcPr>
            <w:tcW w:w="88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903</w:t>
            </w:r>
          </w:p>
        </w:tc>
        <w:tc>
          <w:tcPr>
            <w:tcW w:w="4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421</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1,820</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Adjusted for certain items:</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(Income)/loss from discontinued operations, net of tax</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(247 )</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720" w:type="dxa"/>
            <w:vAlign w:val="bottom"/>
          </w:tcPr>
          <w:p>
            <w:pPr>
              <w:spacing w:after="0"/>
              <w:rPr>
                <w:sz w:val="18"/>
                <w:szCs w:val="18"/>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285</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720" w:type="dxa"/>
            <w:vAlign w:val="bottom"/>
          </w:tcPr>
          <w:p>
            <w:pPr>
              <w:spacing w:after="0"/>
              <w:rPr>
                <w:sz w:val="18"/>
                <w:szCs w:val="18"/>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and transformation, net</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(952 )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(877 )</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(Gain)/loss on disposal of operations</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(380 )</w:t>
            </w:r>
          </w:p>
        </w:tc>
      </w:tr>
      <w:tr>
        <w:trPr>
          <w:trHeight w:val="216"/>
        </w:trPr>
        <w:tc>
          <w:tcPr>
            <w:tcW w:w="5860" w:type="dxa"/>
            <w:vAlign w:val="bottom"/>
            <w:shd w:val="clear" w:color="auto" w:fill="CFF0FC"/>
          </w:tcPr>
          <w:p>
            <w:pPr>
              <w:ind w:left="200"/>
              <w:spacing w:after="0" w:line="216" w:lineRule="exact"/>
              <w:rPr>
                <w:sz w:val="20"/>
                <w:szCs w:val="20"/>
                <w:color w:val="auto"/>
              </w:rPr>
            </w:pPr>
            <w:r>
              <w:rPr>
                <w:rFonts w:ascii="Arial" w:cs="Arial" w:eastAsia="Arial" w:hAnsi="Arial"/>
                <w:sz w:val="18"/>
                <w:szCs w:val="18"/>
                <w:color w:val="auto"/>
              </w:rPr>
              <w:t xml:space="preserve">Tax effect on certain items listed above </w:t>
            </w:r>
            <w:r>
              <w:rPr>
                <w:rFonts w:ascii="Arial" w:cs="Arial" w:eastAsia="Arial" w:hAnsi="Arial"/>
                <w:sz w:val="24"/>
                <w:szCs w:val="24"/>
                <w:color w:val="auto"/>
                <w:vertAlign w:val="superscript"/>
              </w:rPr>
              <w:t>(i)</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144</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Tax effect of the CARES Act</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Tax effect on statutory rate change</w:t>
            </w:r>
          </w:p>
        </w:tc>
        <w:tc>
          <w:tcPr>
            <w:tcW w:w="7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w:t>
            </w:r>
          </w:p>
        </w:tc>
      </w:tr>
      <w:tr>
        <w:trPr>
          <w:trHeight w:val="209"/>
        </w:trPr>
        <w:tc>
          <w:tcPr>
            <w:tcW w:w="58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243</w:t>
            </w:r>
          </w:p>
        </w:tc>
        <w:tc>
          <w:tcPr>
            <w:tcW w:w="88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818</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785</w:t>
            </w:r>
          </w:p>
        </w:tc>
      </w:tr>
      <w:tr>
        <w:trPr>
          <w:trHeight w:val="20"/>
        </w:trPr>
        <w:tc>
          <w:tcPr>
            <w:tcW w:w="5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8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Weighted-average shares of common stock — diluted</w:t>
            </w:r>
          </w:p>
        </w:tc>
        <w:tc>
          <w:tcPr>
            <w:tcW w:w="720" w:type="dxa"/>
            <w:vAlign w:val="bottom"/>
          </w:tcPr>
          <w:p>
            <w:pPr>
              <w:spacing w:after="0"/>
              <w:rPr>
                <w:sz w:val="18"/>
                <w:szCs w:val="18"/>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130</w:t>
            </w:r>
          </w:p>
        </w:tc>
      </w:tr>
      <w:tr>
        <w:trPr>
          <w:trHeight w:val="216"/>
        </w:trPr>
        <w:tc>
          <w:tcPr>
            <w:tcW w:w="58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1.72</w:t>
            </w:r>
          </w:p>
        </w:tc>
        <w:tc>
          <w:tcPr>
            <w:tcW w:w="88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6.99</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3.71</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14.00</w:t>
            </w:r>
          </w:p>
        </w:tc>
      </w:tr>
      <w:tr>
        <w:trPr>
          <w:trHeight w:val="216"/>
        </w:trPr>
        <w:tc>
          <w:tcPr>
            <w:tcW w:w="586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Adjusted for certain items </w:t>
            </w:r>
            <w:r>
              <w:rPr>
                <w:rFonts w:ascii="Arial" w:cs="Arial" w:eastAsia="Arial" w:hAnsi="Arial"/>
                <w:sz w:val="24"/>
                <w:szCs w:val="24"/>
                <w:color w:val="auto"/>
                <w:vertAlign w:val="superscript"/>
              </w:rPr>
              <w:t>(ii)</w:t>
            </w:r>
            <w:r>
              <w:rPr>
                <w:rFonts w:ascii="Arial" w:cs="Arial" w:eastAsia="Arial" w:hAnsi="Arial"/>
                <w:sz w:val="18"/>
                <w:szCs w:val="18"/>
                <w:color w:val="auto"/>
              </w:rPr>
              <w:t xml:space="preserve"> :</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(Income)/loss from discontinued operations, net of tax</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8"/>
              </w:rPr>
              <w:t>(0.07 )</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(1.90 )</w:t>
            </w: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0.71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tcPr>
          <w:p>
            <w:pPr>
              <w:spacing w:after="0"/>
              <w:rPr>
                <w:sz w:val="18"/>
                <w:szCs w:val="18"/>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0.66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2.19</w:t>
            </w: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Transaction and transformation, net</w:t>
            </w:r>
          </w:p>
        </w:tc>
        <w:tc>
          <w:tcPr>
            <w:tcW w:w="720" w:type="dxa"/>
            <w:vAlign w:val="bottom"/>
          </w:tcPr>
          <w:p>
            <w:pPr>
              <w:spacing w:after="0"/>
              <w:rPr>
                <w:sz w:val="18"/>
                <w:szCs w:val="18"/>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8"/>
              </w:rPr>
              <w:t>(7.37 )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0.95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(6.75 )</w:t>
            </w: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(Gain)/loss on disposal of operations</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(0.19 )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(0.18 )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(2.92 )</w:t>
            </w:r>
          </w:p>
        </w:tc>
      </w:tr>
      <w:tr>
        <w:trPr>
          <w:trHeight w:val="216"/>
        </w:trPr>
        <w:tc>
          <w:tcPr>
            <w:tcW w:w="5860" w:type="dxa"/>
            <w:vAlign w:val="bottom"/>
          </w:tcPr>
          <w:p>
            <w:pPr>
              <w:ind w:left="200"/>
              <w:spacing w:after="0" w:line="216" w:lineRule="exact"/>
              <w:rPr>
                <w:sz w:val="20"/>
                <w:szCs w:val="20"/>
                <w:color w:val="auto"/>
              </w:rPr>
            </w:pPr>
            <w:r>
              <w:rPr>
                <w:rFonts w:ascii="Arial" w:cs="Arial" w:eastAsia="Arial" w:hAnsi="Arial"/>
                <w:sz w:val="18"/>
                <w:szCs w:val="18"/>
                <w:color w:val="auto"/>
              </w:rPr>
              <w:t xml:space="preserve">Tax effect on certain items listed above </w:t>
            </w:r>
            <w:r>
              <w:rPr>
                <w:rFonts w:ascii="Arial" w:cs="Arial" w:eastAsia="Arial" w:hAnsi="Arial"/>
                <w:sz w:val="24"/>
                <w:szCs w:val="24"/>
                <w:color w:val="auto"/>
                <w:vertAlign w:val="superscript"/>
              </w:rPr>
              <w:t>(i)</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8"/>
              </w:rPr>
              <w:t>(0.22 )</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1.11</w:t>
            </w: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effect of the CARES Act</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(0.22 )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Tax effect on statutory rate change</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0.31</w:t>
            </w:r>
          </w:p>
        </w:tc>
      </w:tr>
      <w:tr>
        <w:trPr>
          <w:trHeight w:val="249"/>
        </w:trPr>
        <w:tc>
          <w:tcPr>
            <w:tcW w:w="5860" w:type="dxa"/>
            <w:vAlign w:val="bottom"/>
            <w:tcBorders>
              <w:bottom w:val="single" w:sz="8" w:color="CFF0FC"/>
            </w:tcBorders>
            <w:shd w:val="clear" w:color="auto" w:fill="CFF0FC"/>
          </w:tcPr>
          <w:p>
            <w:pPr>
              <w:ind w:left="20"/>
              <w:spacing w:after="0" w:line="209" w:lineRule="exact"/>
              <w:rPr>
                <w:sz w:val="20"/>
                <w:szCs w:val="20"/>
                <w:color w:val="auto"/>
              </w:rPr>
            </w:pPr>
            <w:r>
              <w:rPr>
                <w:rFonts w:ascii="Arial" w:cs="Arial" w:eastAsia="Arial" w:hAnsi="Arial"/>
                <w:sz w:val="18"/>
                <w:szCs w:val="18"/>
                <w:color w:val="auto"/>
              </w:rPr>
              <w:t xml:space="preserve">Adjusted diluted earnings per share </w:t>
            </w:r>
            <w:r>
              <w:rPr>
                <w:rFonts w:ascii="Arial" w:cs="Arial" w:eastAsia="Arial" w:hAnsi="Arial"/>
                <w:sz w:val="24"/>
                <w:szCs w:val="24"/>
                <w:color w:val="auto"/>
                <w:vertAlign w:val="superscript"/>
              </w:rPr>
              <w:t>(ii)</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2.20</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7.20</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-2259965</wp:posOffset>
            </wp:positionV>
            <wp:extent cx="93980" cy="1714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-2259965</wp:posOffset>
            </wp:positionV>
            <wp:extent cx="85725" cy="1714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-2259965</wp:posOffset>
            </wp:positionV>
            <wp:extent cx="85725" cy="1714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-24765</wp:posOffset>
            </wp:positionV>
            <wp:extent cx="939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939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857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857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1"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tax effect was calculated using an effective tax rate for each item.</w:t>
      </w:r>
    </w:p>
    <w:p>
      <w:pPr>
        <w:spacing w:after="0" w:line="41" w:lineRule="exact"/>
        <w:rPr>
          <w:rFonts w:ascii="Arial" w:cs="Arial" w:eastAsia="Arial" w:hAnsi="Arial"/>
          <w:sz w:val="14"/>
          <w:szCs w:val="14"/>
          <w:color w:val="auto"/>
        </w:rPr>
      </w:pPr>
    </w:p>
    <w:p>
      <w:pPr>
        <w:ind w:left="280" w:hanging="272"/>
        <w:spacing w:after="0"/>
        <w:tabs>
          <w:tab w:leader="none" w:pos="2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 share values and totals may differ due to rounding.</w:t>
      </w:r>
    </w:p>
    <w:p>
      <w:pPr>
        <w:spacing w:after="0" w:line="16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Our adjusted diluted earnings per share increased for both the three and nine months ended September 30, 2022 as compared to the prior year due in part to a lower weighted-average outstanding share count attributable to our share repurchase activity in the current year. The increases to adjusted net income for the quarter and first nine months of the year were primarily due to decreases 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0" w:name="page51"/>
    <w:bookmarkEnd w:id="50"/>
    <w:p>
      <w:pPr>
        <w:ind w:right="880"/>
        <w:spacing w:after="0" w:line="277" w:lineRule="auto"/>
        <w:rPr>
          <w:sz w:val="20"/>
          <w:szCs w:val="20"/>
          <w:color w:val="auto"/>
        </w:rPr>
      </w:pPr>
      <w:r>
        <w:rPr>
          <w:rFonts w:ascii="Arial" w:cs="Arial" w:eastAsia="Arial" w:hAnsi="Arial"/>
          <w:sz w:val="18"/>
          <w:szCs w:val="18"/>
          <w:color w:val="auto"/>
        </w:rPr>
        <w:t>incentive and compensation costs and lower tax expense for the current-year periods, partially offset by lower revenue, which was attributable to unfavorable foreign exchange and recent business disposals.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Income Before Taxes and Adjusted Income Taxes/Tax Rate</w:t>
      </w:r>
    </w:p>
    <w:p>
      <w:pPr>
        <w:spacing w:after="0" w:line="15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Adjusted income before taxes is defined as income from operations before income taxes adjusted for impairment, amortization, restructuring costs, transaction and transformation, net,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42"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Adjusted income taxes/tax rate is defined as the provision for income taxes adjusted for taxes on certain items of impairment, amortization, restructuring costs, transaction and transformation, net, gains and losses on disposals of operations, the tax effects of internal reorganizations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31"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Reconciliations of income from operations before income taxes to adjusted income before taxes and provision for income taxes to adjusted income taxes for the three and nine months ended September 30, 2022 and 2021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14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w w:val="98"/>
              </w:rPr>
              <w:t>September 30,</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rPr>
              <w:t>($ in</w:t>
            </w: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2"/>
              </w:rPr>
              <w:t>millions)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58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INCOME FROM CONTINUING OPERATIONS BEFORE</w:t>
            </w:r>
          </w:p>
        </w:tc>
        <w:tc>
          <w:tcPr>
            <w:tcW w:w="7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INCOME TAXES</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4"/>
              </w:rPr>
              <w:t>1,186</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1,968</w:t>
            </w:r>
          </w:p>
        </w:tc>
        <w:tc>
          <w:tcPr>
            <w:tcW w:w="60" w:type="dxa"/>
            <w:vAlign w:val="bottom"/>
          </w:tcPr>
          <w:p>
            <w:pPr>
              <w:spacing w:after="0"/>
              <w:rPr>
                <w:sz w:val="20"/>
                <w:szCs w:val="20"/>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Adjusted for certain items:</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7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29"/>
        </w:trPr>
        <w:tc>
          <w:tcPr>
            <w:tcW w:w="58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6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5820" w:type="dxa"/>
            <w:vAlign w:val="bottom"/>
          </w:tcPr>
          <w:p>
            <w:pPr>
              <w:ind w:left="200"/>
              <w:spacing w:after="0"/>
              <w:rPr>
                <w:sz w:val="20"/>
                <w:szCs w:val="20"/>
                <w:color w:val="auto"/>
              </w:rPr>
            </w:pPr>
            <w:r>
              <w:rPr>
                <w:rFonts w:ascii="Arial" w:cs="Arial" w:eastAsia="Arial" w:hAnsi="Arial"/>
                <w:sz w:val="18"/>
                <w:szCs w:val="18"/>
                <w:color w:val="auto"/>
              </w:rPr>
              <w:t>Transaction and transformation, net</w:t>
            </w:r>
          </w:p>
        </w:tc>
        <w:tc>
          <w:tcPr>
            <w:tcW w:w="76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(952 )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(877 )</w:t>
            </w:r>
          </w:p>
        </w:tc>
        <w:tc>
          <w:tcPr>
            <w:tcW w:w="60" w:type="dxa"/>
            <w:vAlign w:val="bottom"/>
          </w:tcPr>
          <w:p>
            <w:pPr>
              <w:spacing w:after="0"/>
              <w:rPr>
                <w:sz w:val="19"/>
                <w:szCs w:val="19"/>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(Gain)/loss on disposal of operations</w:t>
            </w: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(380 )</w:t>
            </w:r>
          </w:p>
        </w:tc>
        <w:tc>
          <w:tcPr>
            <w:tcW w:w="60" w:type="dxa"/>
            <w:vAlign w:val="bottom"/>
          </w:tcPr>
          <w:p>
            <w:pPr>
              <w:spacing w:after="0"/>
              <w:rPr>
                <w:sz w:val="18"/>
                <w:szCs w:val="18"/>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Adjusted income before taxes</w:t>
            </w: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996</w:t>
            </w:r>
          </w:p>
        </w:tc>
        <w:tc>
          <w:tcPr>
            <w:tcW w:w="6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9"/>
                <w:szCs w:val="19"/>
                <w:color w:val="auto"/>
              </w:rPr>
            </w:pPr>
          </w:p>
        </w:tc>
        <w:tc>
          <w:tcPr>
            <w:tcW w:w="340" w:type="dxa"/>
            <w:vAlign w:val="bottom"/>
          </w:tcPr>
          <w:p>
            <w:pPr>
              <w:jc w:val="center"/>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00"/>
              <w:spacing w:after="0" w:line="229" w:lineRule="exact"/>
              <w:rPr>
                <w:sz w:val="20"/>
                <w:szCs w:val="20"/>
                <w:color w:val="auto"/>
              </w:rPr>
            </w:pPr>
            <w:r>
              <w:rPr>
                <w:rFonts w:ascii="Arial" w:cs="Arial" w:eastAsia="Arial" w:hAnsi="Arial"/>
                <w:sz w:val="18"/>
                <w:szCs w:val="18"/>
                <w:color w:val="auto"/>
              </w:rPr>
              <w:t xml:space="preserve">Tax effect on certain items listed above </w:t>
            </w:r>
            <w:r>
              <w:rPr>
                <w:rFonts w:ascii="Arial" w:cs="Arial" w:eastAsia="Arial" w:hAnsi="Arial"/>
                <w:sz w:val="24"/>
                <w:szCs w:val="24"/>
                <w:color w:val="auto"/>
                <w:vertAlign w:val="superscript"/>
              </w:rPr>
              <w:t>(i)</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(199 )</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(144 )</w:t>
            </w:r>
          </w:p>
        </w:tc>
        <w:tc>
          <w:tcPr>
            <w:tcW w:w="60" w:type="dxa"/>
            <w:vAlign w:val="bottom"/>
          </w:tcPr>
          <w:p>
            <w:pPr>
              <w:spacing w:after="0"/>
              <w:rPr>
                <w:sz w:val="19"/>
                <w:szCs w:val="19"/>
                <w:color w:val="auto"/>
              </w:rPr>
            </w:pPr>
          </w:p>
        </w:tc>
      </w:tr>
      <w:tr>
        <w:trPr>
          <w:trHeight w:val="229"/>
        </w:trPr>
        <w:tc>
          <w:tcPr>
            <w:tcW w:w="5820" w:type="dxa"/>
            <w:vAlign w:val="bottom"/>
          </w:tcPr>
          <w:p>
            <w:pPr>
              <w:ind w:left="200"/>
              <w:spacing w:after="0"/>
              <w:rPr>
                <w:sz w:val="20"/>
                <w:szCs w:val="20"/>
                <w:color w:val="auto"/>
              </w:rPr>
            </w:pPr>
            <w:r>
              <w:rPr>
                <w:rFonts w:ascii="Arial" w:cs="Arial" w:eastAsia="Arial" w:hAnsi="Arial"/>
                <w:sz w:val="18"/>
                <w:szCs w:val="18"/>
                <w:color w:val="auto"/>
              </w:rPr>
              <w:t>Tax effect of the CARES Act</w:t>
            </w:r>
          </w:p>
        </w:tc>
        <w:tc>
          <w:tcPr>
            <w:tcW w:w="76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effect of statutory rate change</w:t>
            </w:r>
          </w:p>
        </w:tc>
        <w:tc>
          <w:tcPr>
            <w:tcW w:w="7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60" w:type="dxa"/>
            <w:vAlign w:val="bottom"/>
          </w:tcPr>
          <w:p>
            <w:pPr>
              <w:spacing w:after="0"/>
              <w:rPr>
                <w:sz w:val="18"/>
                <w:szCs w:val="18"/>
                <w:color w:val="auto"/>
              </w:rPr>
            </w:pPr>
          </w:p>
        </w:tc>
      </w:tr>
      <w:tr>
        <w:trPr>
          <w:trHeight w:val="223"/>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Adjusted income taxes</w:t>
            </w: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5820" w:type="dxa"/>
            <w:vAlign w:val="bottom"/>
          </w:tcPr>
          <w:p>
            <w:pPr>
              <w:ind w:left="200"/>
              <w:spacing w:after="0"/>
              <w:rPr>
                <w:sz w:val="20"/>
                <w:szCs w:val="20"/>
                <w:color w:val="auto"/>
              </w:rPr>
            </w:pPr>
            <w:r>
              <w:rPr>
                <w:rFonts w:ascii="Arial" w:cs="Arial" w:eastAsia="Arial" w:hAnsi="Arial"/>
                <w:sz w:val="18"/>
                <w:szCs w:val="18"/>
                <w:color w:val="auto"/>
              </w:rPr>
              <w:t>U.S. GAAP tax rate</w:t>
            </w:r>
          </w:p>
        </w:tc>
        <w:tc>
          <w:tcPr>
            <w:tcW w:w="7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0.7 %</w:t>
            </w:r>
          </w:p>
        </w:tc>
        <w:tc>
          <w:tcPr>
            <w:tcW w:w="720" w:type="dxa"/>
            <w:vAlign w:val="bottom"/>
          </w:tcPr>
          <w:p>
            <w:pPr>
              <w:spacing w:after="0"/>
              <w:rPr>
                <w:sz w:val="19"/>
                <w:szCs w:val="19"/>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22.5 %</w:t>
            </w:r>
          </w:p>
        </w:tc>
        <w:tc>
          <w:tcPr>
            <w:tcW w:w="3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12.1 %</w:t>
            </w:r>
          </w:p>
        </w:tc>
        <w:tc>
          <w:tcPr>
            <w:tcW w:w="3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29"/>
        </w:trPr>
        <w:tc>
          <w:tcPr>
            <w:tcW w:w="5820" w:type="dxa"/>
            <w:vAlign w:val="bottom"/>
          </w:tcPr>
          <w:p>
            <w:pPr>
              <w:ind w:left="200"/>
              <w:spacing w:after="0"/>
              <w:rPr>
                <w:sz w:val="20"/>
                <w:szCs w:val="20"/>
                <w:color w:val="auto"/>
              </w:rPr>
            </w:pPr>
            <w:r>
              <w:rPr>
                <w:rFonts w:ascii="Arial" w:cs="Arial" w:eastAsia="Arial" w:hAnsi="Arial"/>
                <w:sz w:val="18"/>
                <w:szCs w:val="18"/>
                <w:color w:val="auto"/>
              </w:rPr>
              <w:t>Adjusted income tax rate</w:t>
            </w:r>
          </w:p>
        </w:tc>
        <w:tc>
          <w:tcPr>
            <w:tcW w:w="7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16.8 %</w:t>
            </w:r>
          </w:p>
        </w:tc>
        <w:tc>
          <w:tcPr>
            <w:tcW w:w="720" w:type="dxa"/>
            <w:vAlign w:val="bottom"/>
          </w:tcPr>
          <w:p>
            <w:pPr>
              <w:spacing w:after="0"/>
              <w:rPr>
                <w:sz w:val="19"/>
                <w:szCs w:val="19"/>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23.2 %</w:t>
            </w:r>
          </w:p>
        </w:tc>
        <w:tc>
          <w:tcPr>
            <w:tcW w:w="3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19.7 %</w:t>
            </w:r>
          </w:p>
        </w:tc>
        <w:tc>
          <w:tcPr>
            <w:tcW w:w="3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-1497965</wp:posOffset>
            </wp:positionV>
            <wp:extent cx="93980" cy="1797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-1497965</wp:posOffset>
            </wp:positionV>
            <wp:extent cx="85725" cy="1797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-1497965</wp:posOffset>
            </wp:positionV>
            <wp:extent cx="85725" cy="1797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-607060</wp:posOffset>
            </wp:positionV>
            <wp:extent cx="93980" cy="1797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-607060</wp:posOffset>
            </wp:positionV>
            <wp:extent cx="85725" cy="1797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-607060</wp:posOffset>
            </wp:positionV>
            <wp:extent cx="85725" cy="1797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44"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3"/>
          <w:szCs w:val="13"/>
          <w:color w:val="auto"/>
        </w:rPr>
        <w:t>The tax effect was calculated using an effective tax rate for each item.</w:t>
      </w:r>
    </w:p>
    <w:p>
      <w:pPr>
        <w:spacing w:after="0" w:line="167"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Our U.S. GAAP tax rates were 0.7% and 22.5% for the three months ended September 30, 2022 and 2021, respectively, and 12.1% and 19.6% for the nine months ended September 30, 2022 and 2021, respectively. The prior-year quarter effective tax rate was higher due to the tax expense associated with the income receipt related to the termination of the then-proposed combination with Aon. Additionally, the current-quarter effective tax rate includes discrete tax benefits related to amending the Company’s U.S. federal and state tax returns to change certain elections available under the CARES Act.</w:t>
      </w:r>
    </w:p>
    <w:p>
      <w:pPr>
        <w:spacing w:after="0" w:line="9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adjusted income tax rates were 16.8% and 23.2% for the three months ended September 30, 2022 and 2021, respectively, and 19.7% and 20.3% for the nine months ended September 30, 2022 and 2021, respectively. The prior-year quarter adjusted tax rate was higher due to incremental BEAT expense. Additionally, the current-quarter adjusted tax rate is lower due to the discrete impact of excess tax benefits on executive share-based compensation.</w:t>
      </w:r>
    </w:p>
    <w:p>
      <w:pPr>
        <w:spacing w:after="0" w:line="1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89"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free cash flow presents the core operating performance and cash generating capabilities of our business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cash flows from operating activities to free cash flow for the nine months ended September 30, 2022 and 2021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jc w:val="right"/>
              <w:ind w:right="739"/>
              <w:spacing w:after="0"/>
              <w:rPr>
                <w:sz w:val="20"/>
                <w:szCs w:val="20"/>
                <w:color w:val="auto"/>
              </w:rPr>
            </w:pPr>
            <w:r>
              <w:rPr>
                <w:rFonts w:ascii="Arial" w:cs="Arial" w:eastAsia="Arial" w:hAnsi="Arial"/>
                <w:sz w:val="13"/>
                <w:szCs w:val="13"/>
                <w:b w:val="1"/>
                <w:bCs w:val="1"/>
                <w:color w:val="auto"/>
                <w:w w:val="70"/>
              </w:rPr>
              <w:t>millions)</w:t>
            </w:r>
          </w:p>
        </w:tc>
        <w:tc>
          <w:tcPr>
            <w:tcW w:w="620" w:type="dxa"/>
            <w:vAlign w:val="bottom"/>
          </w:tcPr>
          <w:p>
            <w:pPr>
              <w:spacing w:after="0"/>
              <w:rPr>
                <w:sz w:val="14"/>
                <w:szCs w:val="14"/>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437</w:t>
            </w:r>
          </w:p>
        </w:tc>
        <w:tc>
          <w:tcPr>
            <w:tcW w:w="122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1,877</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Less: Additions to fixed assets and software for internal use</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(109 )</w:t>
            </w: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108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337</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1"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The unfavorable movement in free cash flows in the first nine months of 2022 was due primarily to the prior-year income receipt of $1 billion related to the termination of the proposed Aon transaction, additional tax payments, mostly related to this income receipt payment, and the elimination of cash generation resulting from the Willis Re divestiture.</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Further, the free cash flow for the prior-year period presented includes the operating cash flows of Willis Re. Willis Re’s operating cash flows approximated its pre-tax income and any adjustments for working capital movements (see Note 3 — Acquisitions and Divestitures within Part I, Item 1 ‘Financial Statements’ in this Form 10-Q for additional information), the absence of which is expected to be partially made up by reimbursements through the TSA.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1"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There were no material changes from the Critical Accounting Estimates disclosed in our Annual Report on Form 10-K for the year ended December 31, 2021, filed with the SEC on February 24, 2022.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have considered changes in our exposure to market risks during the nine months ended September 30, 2022 and have determined that there have been no material changes to our exposure to market risks from those described in the Company’s Annual Report on Form 10-K for the year ended December 31, 2021, filed with the SEC on February 24, 2022. However, we have provided the following information to supplement or update our disclosures on our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on Fiduciary Funds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described in our Form 10-K, we are exposed to interest rate risk. Specifically, as a result of our operating activities, we receive cash for premiums and claims which we deposit in high-quality bank term deposit and money market funds where permitted. We earn interest on these funds, which is included in our condensed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year. As a result, interest income has improved substantially this year, with the greatest impact coming in the current quarter. Interest income in the future will be a function of the short-term rates we are able to obtain by currency and the cash balances available to invest in these instruments. At September 30, 2022, we held $1.8 billion of fiduciary funds invested in interest-bearing accounts. If short-term interest rates increased or decreased by 25 basis points, interest earned on these invested fiduciary funds, and therefore our interest income recognized, would increase or decrease by approximately $4 million on an annualized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As of September 30, 2022,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by Exchange Act Rule 13a-15(e). Based upon that evaluation, the CEO and the CFO concluded that the Company’s disclosure controls and procedures are effective in ensuring that the information required to be included in the Company’s periodic SEC filings is recorded, processed, summarized and reported within the time periods specified in the SEC rules and forms and that such information is accumulated and communicated to management, including the CEO and the CFO, as appropriate, to allow for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September 30, 2022 that materially affected, or are reasonably likely to materially affect, our internal control over financial reporting. Most of our employees who are involved in our financial reporting processes and controls continue to work remotely following the onset of the COVID-19 pandemic and are expected to do so for the foreseeable future. COVID-19 has not had any specific impact to the design or operating effectiveness of our internal controls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61"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September 30, 2022.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as described below, there are no material changes from risk factors as previously disclosed in our Annual Report on Form 10-K, filed with the SEC on February 24, 2022. We urge you to read the risk factors contained therein.</w:t>
      </w:r>
    </w:p>
    <w:p>
      <w:pPr>
        <w:spacing w:after="0" w:line="102" w:lineRule="exact"/>
        <w:rPr>
          <w:sz w:val="20"/>
          <w:szCs w:val="20"/>
          <w:color w:val="auto"/>
        </w:rPr>
      </w:pPr>
    </w:p>
    <w:p>
      <w:pPr>
        <w:ind w:right="100"/>
        <w:spacing w:after="0" w:line="361" w:lineRule="auto"/>
        <w:rPr>
          <w:sz w:val="20"/>
          <w:szCs w:val="20"/>
          <w:color w:val="auto"/>
        </w:rPr>
      </w:pPr>
      <w:r>
        <w:rPr>
          <w:rFonts w:ascii="Arial" w:cs="Arial" w:eastAsia="Arial" w:hAnsi="Arial"/>
          <w:sz w:val="15"/>
          <w:szCs w:val="15"/>
          <w:b w:val="1"/>
          <w:bCs w:val="1"/>
          <w:i w:val="1"/>
          <w:iCs w:val="1"/>
          <w:color w:val="auto"/>
        </w:rPr>
        <w:t>Our business, financial condition, results of operations, and long-term goals may continue to be adversely affected, possibly materially, by negative impacts on the global economy and capital markets resulting from the military conflict between Russia and Ukraine or any other geopolitical tensions.</w:t>
      </w:r>
    </w:p>
    <w:p>
      <w:pPr>
        <w:spacing w:after="0" w:line="47"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color w:val="auto"/>
        </w:rPr>
        <w:t>U.S. and global markets are experiencing volatility and disruption following the escalation of geopolitical tensions and the crisis in Ukraine. Although the length and impact of the ongoing situation is highly unpredictable, the crisis in Ukraine could lead to further market disruptions.</w:t>
      </w:r>
    </w:p>
    <w:p>
      <w:pPr>
        <w:spacing w:after="0" w:line="80"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Additionally, during the first quarter of 2022, we announced our intention to transfer ownership of our Russian subsidiaries to local management who will operate independently in the Russian market. Due to the sanctions and prohibitions on certain types of business and activities, we deconsolidated our Russian entities on March 14, 2022. The transfer of our Russian subsidiaries to local management was completed on agreed-upon terms on July 18, 2022, and the transfer was registered in Russia on July 25, 2022. The deconsolidation in the first quarter of 2022 resulted in a loss of $57 million. Further, total net assets impaired, including accounts receivable balances related to our Russian business that are held outside of our Russian entities, were $81 million during the nine months ended September 30, 2022. The Russian entities comprised approximately 1% of consolidated WTW revenue for 2021, primarily within our Risk &amp; Broking segment. Our Russian operation was a high-margin business and the lost profits from our Russian operations are anticipated to impact operating income and cash flow, as described in ‘Outlook Following Russia Divestiture’ within Part I, Item 2 ‘Management’s Discussion and Analysis of Financial Condition and Results of Operations’ of this Quarterly Report on Form 10-Q. We are continuing to monitor the situation in Ukraine and globally and will continue to assess the potential impacts to our businesses.</w:t>
      </w:r>
    </w:p>
    <w:p>
      <w:pPr>
        <w:spacing w:after="0" w:line="109"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Sanctions imposed by the U.S., the E.U., the U.K. and other countries, as well as Russian counter-sanctions, are extensive. Additional sanctions and penalties have also been enacted, proposed and/or threatened. Russian actions and the resulting sanctions could adversely affect the global economy and financial markets and lead to instability and lack of liquidity in capital markets. The ramifications of the hostilities and sanctions, however, may not be limited to Russia and Russian companies but may spill over to and negatively impact other regional and global economic markets (including Europe and the United States), companies in other countries (particularly those that have done business with Russia) and various sectors, industries and markets for securities and commodities globally, such as oil and natural gas. Accordingly, the actions discussed above and the potential for a wider conflict could increase financial market volatility, cause severe negative effects on regional and global economic markets, industries, and companies. In addition, Russia may take retaliatory actions and other countermeasures, including cyberattacks and espionage against other countries and companies around the world, which may negatively impact such countries and companies. The extent and duration of the Russian actions or future escalation of such hostilities, the extent and impact of existing and future sanctions, market disruptions and volatility, and the result of any diplomatic negotiations cannot be predicted.</w:t>
      </w:r>
    </w:p>
    <w:p>
      <w:pPr>
        <w:spacing w:after="0" w:line="1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the above-mentioned factors could adversely affect our business, prospects, financial condition, and operating results. The extent and duration of the crisis, sanctions and resulting market disruptions are impossible to predict, but could be substantial.</w:t>
      </w:r>
    </w:p>
    <w:p>
      <w:pPr>
        <w:spacing w:after="0" w:line="10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Macroeconomic trends, including inflation, rising interest rates and trade policies could adversely affect our business, results of operation or financial condition.</w:t>
      </w:r>
    </w:p>
    <w:p>
      <w:pPr>
        <w:spacing w:after="0" w:line="13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Global economic events and other factors, such as accommodative monetary and fiscal policy and the impacts of the COVID-19 pandemic, as we discussed in the Risk Factors included in our Annual Report on Form 10-K for the fiscal year ended December 31, 2021, have contributed to significant inflation in many of the markets in which we operate. Specifically, general inflation in the U.S. is at a 40-year high. In order to combat inflation and restore price stability, the U.S. Federal Reserve has raised interest rates and is expected to keep increasing interest rates in 2022 and 2023. Increased inflation and interest rates may hinder the economic growth in the U.S., as seen in the decline in U.S. Gross Domestic Product in the first two quarters of 2022, and could have far reaching effects on the global economy. Furthermore, as central banks worldwide simultaneously raise interest rates to combat inflation, economic growth may also deteriorate in Europe, China and other geographies. This economic weakness in the economy and the possibility of 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global recession has had, and may continue to have, a negative effect on our business and financial condition, including on the value of our common stock.</w:t>
      </w:r>
    </w:p>
    <w:p>
      <w:pPr>
        <w:spacing w:after="0" w:line="19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Moreover, U.S. and global economic conditions have created market uncertainty and volatility. Such general economic conditions, such as inflation, stagflation, political volatility, costs of labor, cost of capital, interest rates and tax rates, affect our operating and general and administrative expenses, and we have no control or limited ability to control such factors. If our costs grow significantly in excess of our ability to raise revenue, our margins and results of operations may be materially and adversely impacted and we may not be able to achieve our strategic and financial objectives. These conditions also affect our clients’ businesses and the markets that they serve and may reduce demand for our services, increase demands for pricing accommodations or cause a higher rate of delays in the collection of, or losses on, our accounts receivable, which could adversely affect our results of operations.</w:t>
      </w:r>
    </w:p>
    <w:p>
      <w:pPr>
        <w:spacing w:after="0" w:line="11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Further, the continued slowdown in the global economy, including a recession, or in a particular region or industry, inflation or a tightening of the credit markets could negatively impact our business, financial condition and liquidity, including our ability to continue to access preferred sources of liquidity when we would like, and our borrowing costs could increase. In particular, further tightening of the credit markets could limit our ability to obtain external financing to fund our operations and capital expenditures, if and when needed. In addition, we could experience losses on our holdings of cash and investments due to failures of financial institutions and other parties. Thus, a continued deterioration of macroeconomic conditions in the U.S. and globally could adversely affect our business, results of operations or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During the nine months ended September 30, 2022, no shares were issued by the Company without registration under the Securities Act of 1933, as amended.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1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and on May 25, 2022, approved a $1.0 billion increase to the existing share repurchase program. These increases brought the total approved authorization to $6.5 billion.</w:t>
      </w:r>
    </w:p>
    <w:p>
      <w:pPr>
        <w:spacing w:after="0" w:line="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specified information about the Company’s repurchases of its ordinary shares in the third quarter of 2022 and the Company’s remaining repurchase authority.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ind w:right="81"/>
              <w:spacing w:after="0"/>
              <w:rPr>
                <w:sz w:val="20"/>
                <w:szCs w:val="20"/>
                <w:color w:val="auto"/>
              </w:rPr>
            </w:pPr>
            <w:r>
              <w:rPr>
                <w:rFonts w:ascii="Arial" w:cs="Arial" w:eastAsia="Arial" w:hAnsi="Arial"/>
                <w:sz w:val="14"/>
                <w:szCs w:val="14"/>
                <w:color w:val="auto"/>
                <w:w w:val="91"/>
              </w:rPr>
              <w:t>Total number of shares</w:t>
            </w:r>
          </w:p>
        </w:tc>
        <w:tc>
          <w:tcPr>
            <w:tcW w:w="100" w:type="dxa"/>
            <w:vAlign w:val="bottom"/>
          </w:tcPr>
          <w:p>
            <w:pPr>
              <w:spacing w:after="0"/>
              <w:rPr>
                <w:sz w:val="14"/>
                <w:szCs w:val="14"/>
                <w:color w:val="auto"/>
              </w:rPr>
            </w:pPr>
          </w:p>
        </w:tc>
        <w:tc>
          <w:tcPr>
            <w:tcW w:w="1940" w:type="dxa"/>
            <w:vAlign w:val="bottom"/>
          </w:tcPr>
          <w:p>
            <w:pPr>
              <w:jc w:val="center"/>
              <w:ind w:right="84"/>
              <w:spacing w:after="0"/>
              <w:rPr>
                <w:sz w:val="20"/>
                <w:szCs w:val="20"/>
                <w:color w:val="auto"/>
              </w:rPr>
            </w:pPr>
            <w:r>
              <w:rPr>
                <w:rFonts w:ascii="Arial" w:cs="Arial" w:eastAsia="Arial" w:hAnsi="Arial"/>
                <w:sz w:val="14"/>
                <w:szCs w:val="14"/>
                <w:color w:val="auto"/>
                <w:w w:val="93"/>
              </w:rPr>
              <w:t>Maximum number of shares</w:t>
            </w:r>
          </w:p>
        </w:tc>
      </w:tr>
      <w:tr>
        <w:trPr>
          <w:trHeight w:val="162"/>
        </w:trPr>
        <w:tc>
          <w:tcPr>
            <w:tcW w:w="4020" w:type="dxa"/>
            <w:vAlign w:val="bottom"/>
          </w:tcPr>
          <w:p>
            <w:pPr>
              <w:spacing w:after="0"/>
              <w:rPr>
                <w:sz w:val="14"/>
                <w:szCs w:val="14"/>
                <w:color w:val="auto"/>
              </w:rPr>
            </w:pPr>
          </w:p>
        </w:tc>
        <w:tc>
          <w:tcPr>
            <w:tcW w:w="1480" w:type="dxa"/>
            <w:vAlign w:val="bottom"/>
          </w:tcPr>
          <w:p>
            <w:pPr>
              <w:jc w:val="right"/>
              <w:ind w:right="56"/>
              <w:spacing w:after="0"/>
              <w:rPr>
                <w:sz w:val="20"/>
                <w:szCs w:val="20"/>
                <w:color w:val="auto"/>
              </w:rPr>
            </w:pPr>
            <w:r>
              <w:rPr>
                <w:rFonts w:ascii="Arial" w:cs="Arial" w:eastAsia="Arial" w:hAnsi="Arial"/>
                <w:sz w:val="14"/>
                <w:szCs w:val="14"/>
                <w:color w:val="auto"/>
                <w:w w:val="91"/>
              </w:rPr>
              <w:t>Total number of shares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color w:val="auto"/>
              </w:rPr>
              <w:t>Average price</w:t>
            </w:r>
          </w:p>
        </w:tc>
        <w:tc>
          <w:tcPr>
            <w:tcW w:w="120" w:type="dxa"/>
            <w:vAlign w:val="bottom"/>
          </w:tcPr>
          <w:p>
            <w:pPr>
              <w:spacing w:after="0"/>
              <w:rPr>
                <w:sz w:val="14"/>
                <w:szCs w:val="14"/>
                <w:color w:val="auto"/>
              </w:rPr>
            </w:pPr>
          </w:p>
        </w:tc>
        <w:tc>
          <w:tcPr>
            <w:tcW w:w="2000" w:type="dxa"/>
            <w:vAlign w:val="bottom"/>
          </w:tcPr>
          <w:p>
            <w:pPr>
              <w:jc w:val="center"/>
              <w:ind w:right="61"/>
              <w:spacing w:after="0"/>
              <w:rPr>
                <w:sz w:val="20"/>
                <w:szCs w:val="20"/>
                <w:color w:val="auto"/>
              </w:rPr>
            </w:pPr>
            <w:r>
              <w:rPr>
                <w:rFonts w:ascii="Arial" w:cs="Arial" w:eastAsia="Arial" w:hAnsi="Arial"/>
                <w:sz w:val="14"/>
                <w:szCs w:val="14"/>
                <w:color w:val="auto"/>
                <w:w w:val="93"/>
              </w:rPr>
              <w:t>purchased as part of publicly</w:t>
            </w:r>
          </w:p>
        </w:tc>
        <w:tc>
          <w:tcPr>
            <w:tcW w:w="100" w:type="dxa"/>
            <w:vAlign w:val="bottom"/>
          </w:tcPr>
          <w:p>
            <w:pPr>
              <w:spacing w:after="0"/>
              <w:rPr>
                <w:sz w:val="14"/>
                <w:szCs w:val="14"/>
                <w:color w:val="auto"/>
              </w:rPr>
            </w:pPr>
          </w:p>
        </w:tc>
        <w:tc>
          <w:tcPr>
            <w:tcW w:w="1940" w:type="dxa"/>
            <w:vAlign w:val="bottom"/>
          </w:tcPr>
          <w:p>
            <w:pPr>
              <w:jc w:val="center"/>
              <w:ind w:right="84"/>
              <w:spacing w:after="0"/>
              <w:rPr>
                <w:sz w:val="20"/>
                <w:szCs w:val="20"/>
                <w:color w:val="auto"/>
              </w:rPr>
            </w:pPr>
            <w:r>
              <w:rPr>
                <w:rFonts w:ascii="Arial" w:cs="Arial" w:eastAsia="Arial" w:hAnsi="Arial"/>
                <w:sz w:val="14"/>
                <w:szCs w:val="14"/>
                <w:color w:val="auto"/>
                <w:w w:val="90"/>
              </w:rPr>
              <w:t>that may yet be purchased</w:t>
            </w:r>
          </w:p>
        </w:tc>
      </w:tr>
      <w:tr>
        <w:trPr>
          <w:trHeight w:val="181"/>
        </w:trPr>
        <w:tc>
          <w:tcPr>
            <w:tcW w:w="4020" w:type="dxa"/>
            <w:vAlign w:val="bottom"/>
          </w:tcPr>
          <w:p>
            <w:pPr>
              <w:ind w:left="20"/>
              <w:spacing w:after="0"/>
              <w:rPr>
                <w:sz w:val="20"/>
                <w:szCs w:val="20"/>
                <w:color w:val="auto"/>
              </w:rPr>
            </w:pPr>
            <w:r>
              <w:rPr>
                <w:rFonts w:ascii="Arial" w:cs="Arial" w:eastAsia="Arial" w:hAnsi="Arial"/>
                <w:sz w:val="14"/>
                <w:szCs w:val="14"/>
                <w:color w:val="auto"/>
              </w:rPr>
              <w:t>Period</w:t>
            </w: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purchased</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paid per share</w:t>
            </w:r>
          </w:p>
        </w:tc>
        <w:tc>
          <w:tcPr>
            <w:tcW w:w="120" w:type="dxa"/>
            <w:vAlign w:val="bottom"/>
          </w:tcPr>
          <w:p>
            <w:pPr>
              <w:spacing w:after="0"/>
              <w:rPr>
                <w:sz w:val="15"/>
                <w:szCs w:val="15"/>
                <w:color w:val="auto"/>
              </w:rPr>
            </w:pPr>
          </w:p>
        </w:tc>
        <w:tc>
          <w:tcPr>
            <w:tcW w:w="2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0"/>
              </w:rPr>
              <w:t>announced plans or programs</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w w:val="92"/>
              </w:rPr>
              <w:t>under the plans or programs</w:t>
            </w:r>
          </w:p>
        </w:tc>
      </w:tr>
      <w:tr>
        <w:trPr>
          <w:trHeight w:val="209"/>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1, 2022 through July 31, 2022</w:t>
            </w: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549,961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198.87</w:t>
            </w:r>
          </w:p>
        </w:tc>
        <w:tc>
          <w:tcPr>
            <w:tcW w:w="12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549,961</w:t>
            </w: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10,111,422</w:t>
            </w:r>
          </w:p>
        </w:tc>
      </w:tr>
      <w:tr>
        <w:trPr>
          <w:trHeight w:val="216"/>
        </w:trPr>
        <w:tc>
          <w:tcPr>
            <w:tcW w:w="4020" w:type="dxa"/>
            <w:vAlign w:val="bottom"/>
          </w:tcPr>
          <w:p>
            <w:pPr>
              <w:ind w:left="20"/>
              <w:spacing w:after="0"/>
              <w:rPr>
                <w:sz w:val="20"/>
                <w:szCs w:val="20"/>
                <w:color w:val="auto"/>
              </w:rPr>
            </w:pPr>
            <w:r>
              <w:rPr>
                <w:rFonts w:ascii="Arial" w:cs="Arial" w:eastAsia="Arial" w:hAnsi="Arial"/>
                <w:sz w:val="16"/>
                <w:szCs w:val="16"/>
                <w:color w:val="auto"/>
              </w:rPr>
              <w:t>August 1, 2022 through August 31, 2022</w:t>
            </w: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615,669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212.36</w:t>
            </w:r>
          </w:p>
        </w:tc>
        <w:tc>
          <w:tcPr>
            <w:tcW w:w="2120" w:type="dxa"/>
            <w:vAlign w:val="bottom"/>
            <w:gridSpan w:val="2"/>
          </w:tcPr>
          <w:p>
            <w:pPr>
              <w:jc w:val="right"/>
              <w:ind w:right="61"/>
              <w:spacing w:after="0"/>
              <w:rPr>
                <w:sz w:val="20"/>
                <w:szCs w:val="20"/>
                <w:color w:val="auto"/>
              </w:rPr>
            </w:pPr>
            <w:r>
              <w:rPr>
                <w:rFonts w:ascii="Arial" w:cs="Arial" w:eastAsia="Arial" w:hAnsi="Arial"/>
                <w:sz w:val="18"/>
                <w:szCs w:val="18"/>
                <w:color w:val="auto"/>
              </w:rPr>
              <w:t>615,669</w:t>
            </w:r>
          </w:p>
        </w:tc>
        <w:tc>
          <w:tcPr>
            <w:tcW w:w="2040" w:type="dxa"/>
            <w:vAlign w:val="bottom"/>
            <w:gridSpan w:val="2"/>
          </w:tcPr>
          <w:p>
            <w:pPr>
              <w:jc w:val="right"/>
              <w:ind w:right="44"/>
              <w:spacing w:after="0"/>
              <w:rPr>
                <w:sz w:val="20"/>
                <w:szCs w:val="20"/>
                <w:color w:val="auto"/>
              </w:rPr>
            </w:pPr>
            <w:r>
              <w:rPr>
                <w:rFonts w:ascii="Arial" w:cs="Arial" w:eastAsia="Arial" w:hAnsi="Arial"/>
                <w:sz w:val="18"/>
                <w:szCs w:val="18"/>
                <w:color w:val="auto"/>
              </w:rPr>
              <w:t>9,495,753</w:t>
            </w:r>
          </w:p>
        </w:tc>
      </w:tr>
      <w:tr>
        <w:trPr>
          <w:trHeight w:val="21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September 1, 2022 through September 30, 2022</w:t>
            </w:r>
          </w:p>
        </w:tc>
        <w:tc>
          <w:tcPr>
            <w:tcW w:w="148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622,895</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207.09</w:t>
            </w:r>
          </w:p>
        </w:tc>
        <w:tc>
          <w:tcPr>
            <w:tcW w:w="12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8"/>
                <w:szCs w:val="18"/>
                <w:color w:val="auto"/>
              </w:rPr>
              <w:t>622,895</w:t>
            </w:r>
          </w:p>
        </w:tc>
        <w:tc>
          <w:tcPr>
            <w:tcW w:w="2040" w:type="dxa"/>
            <w:vAlign w:val="bottom"/>
            <w:tcBorders>
              <w:bottom w:val="single" w:sz="8" w:color="CFF0FC"/>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8,872,858</w:t>
            </w:r>
          </w:p>
        </w:tc>
      </w:tr>
      <w:tr>
        <w:trPr>
          <w:trHeight w:val="209"/>
        </w:trPr>
        <w:tc>
          <w:tcPr>
            <w:tcW w:w="4020" w:type="dxa"/>
            <w:vAlign w:val="bottom"/>
          </w:tcPr>
          <w:p>
            <w:pPr>
              <w:spacing w:after="0"/>
              <w:rPr>
                <w:sz w:val="18"/>
                <w:szCs w:val="18"/>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1,788,525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206.38</w:t>
            </w:r>
          </w:p>
        </w:tc>
        <w:tc>
          <w:tcPr>
            <w:tcW w:w="2120" w:type="dxa"/>
            <w:vAlign w:val="bottom"/>
            <w:gridSpan w:val="2"/>
          </w:tcPr>
          <w:p>
            <w:pPr>
              <w:jc w:val="right"/>
              <w:ind w:right="61"/>
              <w:spacing w:after="0"/>
              <w:rPr>
                <w:sz w:val="20"/>
                <w:szCs w:val="20"/>
                <w:color w:val="auto"/>
              </w:rPr>
            </w:pPr>
            <w:r>
              <w:rPr>
                <w:rFonts w:ascii="Arial" w:cs="Arial" w:eastAsia="Arial" w:hAnsi="Arial"/>
                <w:sz w:val="18"/>
                <w:szCs w:val="18"/>
                <w:color w:val="auto"/>
              </w:rPr>
              <w:t>1,788,525</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-170815</wp:posOffset>
            </wp:positionV>
            <wp:extent cx="93980" cy="1714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-170815</wp:posOffset>
            </wp:positionV>
            <wp:extent cx="68580" cy="1714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At September 30, 2022 the maximum number of shares that may yet be purchased under the existing stock repurchase plan is 8,872,858, with approximately $1.8 billion remaining on the current open-ended repurchase authority granted by the board. An estimate of the maximum number of shares under the existing authorities was determined using the closing price of our ordinary shares on September 30, 2022 of $200.94.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36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5"/>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0" w:type="dxa"/>
            <w:vAlign w:val="bottom"/>
            <w:gridSpan w:val="10"/>
            <w:vMerge w:val="restart"/>
          </w:tcPr>
          <w:p>
            <w:pPr>
              <w:ind w:left="256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Schedule</w:t>
            </w:r>
          </w:p>
        </w:tc>
        <w:tc>
          <w:tcPr>
            <w:tcW w:w="12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Exhibi</w:t>
            </w:r>
          </w:p>
        </w:tc>
        <w:tc>
          <w:tcPr>
            <w:tcW w:w="1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6600" w:type="dxa"/>
            <w:vAlign w:val="bottom"/>
            <w:gridSpan w:val="10"/>
            <w:vMerge w:val="continue"/>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w:t>
            </w: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680" w:type="dxa"/>
            <w:vAlign w:val="bottom"/>
            <w:vMerge w:val="restart"/>
          </w:tcPr>
          <w:p>
            <w:pPr>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1"/>
                <w:szCs w:val="11"/>
                <w:color w:val="auto"/>
              </w:rPr>
            </w:pPr>
          </w:p>
        </w:tc>
        <w:tc>
          <w:tcPr>
            <w:tcW w:w="6600" w:type="dxa"/>
            <w:vAlign w:val="bottom"/>
            <w:gridSpan w:val="10"/>
            <w:vMerge w:val="restart"/>
          </w:tcPr>
          <w:p>
            <w:pPr>
              <w:spacing w:after="0"/>
              <w:rPr>
                <w:rFonts w:ascii="Arial" w:cs="Arial" w:eastAsia="Arial" w:hAnsi="Arial"/>
                <w:sz w:val="18"/>
                <w:szCs w:val="18"/>
                <w:color w:val="0000FF"/>
              </w:rPr>
            </w:pPr>
            <w:hyperlink r:id="rId497">
              <w:r>
                <w:rPr>
                  <w:rFonts w:ascii="Arial" w:cs="Arial" w:eastAsia="Arial" w:hAnsi="Arial"/>
                  <w:sz w:val="18"/>
                  <w:szCs w:val="18"/>
                  <w:color w:val="0000FF"/>
                </w:rPr>
                <w:t>List of Issuers and Guarantor Subsidiaries.</w:t>
              </w:r>
            </w:hyperlink>
          </w:p>
        </w:tc>
        <w:tc>
          <w:tcPr>
            <w:tcW w:w="20" w:type="dxa"/>
            <w:vAlign w:val="bottom"/>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1"/>
              </w:rPr>
              <w:t>July 28, 2022</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0" w:type="dxa"/>
            <w:vAlign w:val="bottom"/>
            <w:gridSpan w:val="10"/>
            <w:vMerge w:val="continue"/>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4"/>
              </w:rPr>
              <w:t>10-Q</w:t>
            </w:r>
          </w:p>
        </w:tc>
        <w:tc>
          <w:tcPr>
            <w:tcW w:w="120" w:type="dxa"/>
            <w:vAlign w:val="bottom"/>
          </w:tcPr>
          <w:p>
            <w:pPr>
              <w:spacing w:after="0"/>
              <w:rPr>
                <w:sz w:val="15"/>
                <w:szCs w:val="15"/>
                <w:color w:val="auto"/>
              </w:rPr>
            </w:pPr>
          </w:p>
        </w:tc>
        <w:tc>
          <w:tcPr>
            <w:tcW w:w="440" w:type="dxa"/>
            <w:vAlign w:val="bottom"/>
          </w:tcPr>
          <w:p>
            <w:pPr>
              <w:jc w:val="center"/>
              <w:spacing w:after="0" w:line="182" w:lineRule="exact"/>
              <w:rPr>
                <w:sz w:val="20"/>
                <w:szCs w:val="20"/>
                <w:color w:val="auto"/>
              </w:rPr>
            </w:pPr>
            <w:r>
              <w:rPr>
                <w:rFonts w:ascii="Arial" w:cs="Arial" w:eastAsia="Arial" w:hAnsi="Arial"/>
                <w:sz w:val="18"/>
                <w:szCs w:val="18"/>
                <w:color w:val="auto"/>
                <w:w w:val="91"/>
              </w:rPr>
              <w:t>22.1</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31.1</w:t>
            </w:r>
          </w:p>
        </w:tc>
        <w:tc>
          <w:tcPr>
            <w:tcW w:w="140" w:type="dxa"/>
            <w:vAlign w:val="bottom"/>
            <w:shd w:val="clear" w:color="auto" w:fill="CFF0FC"/>
          </w:tcPr>
          <w:p>
            <w:pPr>
              <w:spacing w:after="0"/>
              <w:rPr>
                <w:sz w:val="15"/>
                <w:szCs w:val="15"/>
                <w:color w:val="auto"/>
              </w:rPr>
            </w:pPr>
          </w:p>
        </w:tc>
        <w:tc>
          <w:tcPr>
            <w:tcW w:w="6600" w:type="dxa"/>
            <w:vAlign w:val="bottom"/>
            <w:gridSpan w:val="10"/>
            <w:shd w:val="clear" w:color="auto" w:fill="CFF0FC"/>
          </w:tcPr>
          <w:p>
            <w:pPr>
              <w:spacing w:after="0" w:line="176" w:lineRule="exact"/>
              <w:rPr>
                <w:sz w:val="20"/>
                <w:szCs w:val="20"/>
                <w:color w:val="auto"/>
              </w:rPr>
            </w:pPr>
            <w:r>
              <w:rPr>
                <w:rFonts w:ascii="Arial" w:cs="Arial" w:eastAsia="Arial" w:hAnsi="Arial"/>
                <w:sz w:val="18"/>
                <w:szCs w:val="18"/>
                <w:color w:val="0000FF"/>
                <w:w w:val="95"/>
              </w:rPr>
              <w:t>Certification of the Registrant’s Chief Executive Officer, Carl A. Hess, pursuant to Rule</w:t>
            </w:r>
          </w:p>
        </w:tc>
        <w:tc>
          <w:tcPr>
            <w:tcW w:w="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X</w:t>
            </w: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6360" w:type="dxa"/>
            <w:vAlign w:val="bottom"/>
            <w:tcBorders>
              <w:top w:val="single" w:sz="8" w:color="0000FF"/>
            </w:tcBorders>
            <w:gridSpan w:val="8"/>
            <w:shd w:val="clear" w:color="auto" w:fill="CFF0FC"/>
          </w:tcPr>
          <w:p>
            <w:pPr>
              <w:spacing w:after="0" w:line="169" w:lineRule="exact"/>
              <w:rPr>
                <w:sz w:val="20"/>
                <w:szCs w:val="20"/>
                <w:color w:val="auto"/>
              </w:rPr>
            </w:pPr>
            <w:r>
              <w:rPr>
                <w:rFonts w:ascii="Arial" w:cs="Arial" w:eastAsia="Arial" w:hAnsi="Arial"/>
                <w:sz w:val="18"/>
                <w:szCs w:val="18"/>
                <w:color w:val="0000FF"/>
              </w:rPr>
              <w:t>13a-14 of the Securities Exchange Act of 1934.</w:t>
            </w:r>
          </w:p>
        </w:tc>
        <w:tc>
          <w:tcPr>
            <w:tcW w:w="240" w:type="dxa"/>
            <w:vAlign w:val="bottom"/>
            <w:tcBorders>
              <w:top w:val="single" w:sz="8" w:color="CFF0FC"/>
            </w:tcBorders>
            <w:gridSpan w:val="2"/>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4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1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68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5"/>
                <w:szCs w:val="15"/>
                <w:color w:val="auto"/>
              </w:rPr>
            </w:pPr>
          </w:p>
        </w:tc>
        <w:tc>
          <w:tcPr>
            <w:tcW w:w="6600" w:type="dxa"/>
            <w:vAlign w:val="bottom"/>
            <w:gridSpan w:val="10"/>
          </w:tcPr>
          <w:p>
            <w:pPr>
              <w:spacing w:after="0" w:line="176" w:lineRule="exact"/>
              <w:rPr>
                <w:sz w:val="20"/>
                <w:szCs w:val="20"/>
                <w:color w:val="auto"/>
              </w:rPr>
            </w:pPr>
            <w:r>
              <w:rPr>
                <w:rFonts w:ascii="Arial" w:cs="Arial" w:eastAsia="Arial" w:hAnsi="Arial"/>
                <w:sz w:val="18"/>
                <w:szCs w:val="18"/>
                <w:color w:val="0000FF"/>
                <w:w w:val="96"/>
              </w:rPr>
              <w:t>Certification of the Registrant’s Chief Financial Officer, Andrew J. Krasner, pursuant to</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34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Rule 13a-14 of the Securities Exchange Act of 1934.</w:t>
            </w:r>
          </w:p>
        </w:tc>
        <w:tc>
          <w:tcPr>
            <w:tcW w:w="2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Borders>
              <w:bottom w:val="single" w:sz="8" w:color="CFF0FC"/>
            </w:tcBorders>
            <w:shd w:val="clear" w:color="auto" w:fill="CFF0FC"/>
          </w:tcPr>
          <w:p>
            <w:pPr>
              <w:spacing w:after="0" w:line="176" w:lineRule="exact"/>
              <w:rPr>
                <w:sz w:val="20"/>
                <w:szCs w:val="20"/>
                <w:color w:val="auto"/>
              </w:rPr>
            </w:pPr>
            <w:r>
              <w:rPr>
                <w:rFonts w:ascii="Arial" w:cs="Arial" w:eastAsia="Arial" w:hAnsi="Arial"/>
                <w:sz w:val="18"/>
                <w:szCs w:val="18"/>
                <w:color w:val="auto"/>
              </w:rPr>
              <w:t>32.1**</w:t>
            </w:r>
          </w:p>
        </w:tc>
        <w:tc>
          <w:tcPr>
            <w:tcW w:w="140" w:type="dxa"/>
            <w:vAlign w:val="bottom"/>
            <w:tcBorders>
              <w:bottom w:val="single" w:sz="8" w:color="CFF0FC"/>
            </w:tcBorders>
            <w:shd w:val="clear" w:color="auto" w:fill="CFF0FC"/>
          </w:tcPr>
          <w:p>
            <w:pPr>
              <w:spacing w:after="0"/>
              <w:rPr>
                <w:sz w:val="15"/>
                <w:szCs w:val="15"/>
                <w:color w:val="auto"/>
              </w:rPr>
            </w:pPr>
          </w:p>
        </w:tc>
        <w:tc>
          <w:tcPr>
            <w:tcW w:w="5880" w:type="dxa"/>
            <w:vAlign w:val="bottom"/>
            <w:tcBorders>
              <w:bottom w:val="single" w:sz="8" w:color="0000FF"/>
            </w:tcBorders>
            <w:gridSpan w:val="5"/>
            <w:shd w:val="clear" w:color="auto" w:fill="CFF0FC"/>
          </w:tcPr>
          <w:p>
            <w:pPr>
              <w:spacing w:after="0" w:line="176" w:lineRule="exact"/>
              <w:rPr>
                <w:sz w:val="20"/>
                <w:szCs w:val="20"/>
                <w:color w:val="auto"/>
              </w:rPr>
            </w:pPr>
            <w:r>
              <w:rPr>
                <w:rFonts w:ascii="Arial" w:cs="Arial" w:eastAsia="Arial" w:hAnsi="Arial"/>
                <w:sz w:val="18"/>
                <w:szCs w:val="18"/>
                <w:color w:val="0000FF"/>
                <w:w w:val="92"/>
              </w:rPr>
              <w:t>Certification of the Registrant’s Chief Executive Officer, Carl A. Hess, and Chief</w:t>
            </w:r>
          </w:p>
        </w:tc>
        <w:tc>
          <w:tcPr>
            <w:tcW w:w="720" w:type="dxa"/>
            <w:vAlign w:val="bottom"/>
            <w:tcBorders>
              <w:bottom w:val="single" w:sz="8" w:color="CFF0FC"/>
            </w:tcBorders>
            <w:gridSpan w:val="5"/>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0" w:type="dxa"/>
            <w:vAlign w:val="bottom"/>
            <w:gridSpan w:val="10"/>
            <w:shd w:val="clear" w:color="auto" w:fill="CFF0FC"/>
          </w:tcPr>
          <w:p>
            <w:pPr>
              <w:spacing w:after="0" w:line="169" w:lineRule="exact"/>
              <w:rPr>
                <w:sz w:val="20"/>
                <w:szCs w:val="20"/>
                <w:color w:val="auto"/>
              </w:rPr>
            </w:pPr>
            <w:r>
              <w:rPr>
                <w:rFonts w:ascii="Arial" w:cs="Arial" w:eastAsia="Arial" w:hAnsi="Arial"/>
                <w:sz w:val="18"/>
                <w:szCs w:val="18"/>
                <w:color w:val="0000FF"/>
                <w:w w:val="96"/>
              </w:rPr>
              <w:t>Financial Officer, Andrew J. Krasner, pursuant to 18 U.S.C. Section 1350, as adopted</w:t>
            </w:r>
          </w:p>
        </w:tc>
        <w:tc>
          <w:tcPr>
            <w:tcW w:w="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4300" w:type="dxa"/>
            <w:vAlign w:val="bottom"/>
            <w:tcBorders>
              <w:top w:val="single" w:sz="8" w:color="0000FF"/>
              <w:bottom w:val="single" w:sz="8" w:color="0000FF"/>
            </w:tcBorders>
            <w:gridSpan w:val="4"/>
            <w:shd w:val="clear" w:color="auto" w:fill="CFF0FC"/>
          </w:tcPr>
          <w:p>
            <w:pPr>
              <w:spacing w:after="0" w:line="169" w:lineRule="exact"/>
              <w:rPr>
                <w:sz w:val="20"/>
                <w:szCs w:val="20"/>
                <w:color w:val="auto"/>
              </w:rPr>
            </w:pPr>
            <w:r>
              <w:rPr>
                <w:rFonts w:ascii="Arial" w:cs="Arial" w:eastAsia="Arial" w:hAnsi="Arial"/>
                <w:sz w:val="18"/>
                <w:szCs w:val="18"/>
                <w:color w:val="0000FF"/>
                <w:w w:val="90"/>
              </w:rPr>
              <w:t>pursuant to Section 906 of the Sarbanes-Oxley Act of 2002.</w:t>
            </w:r>
          </w:p>
        </w:tc>
        <w:tc>
          <w:tcPr>
            <w:tcW w:w="1880" w:type="dxa"/>
            <w:vAlign w:val="bottom"/>
            <w:tcBorders>
              <w:top w:val="single" w:sz="8" w:color="0000FF"/>
              <w:bottom w:val="single" w:sz="8" w:color="CFF0FC"/>
            </w:tcBorders>
            <w:gridSpan w:val="2"/>
            <w:shd w:val="clear" w:color="auto" w:fill="CFF0FC"/>
          </w:tcPr>
          <w:p>
            <w:pPr>
              <w:spacing w:after="0"/>
              <w:rPr>
                <w:sz w:val="18"/>
                <w:szCs w:val="18"/>
                <w:color w:val="auto"/>
              </w:rPr>
            </w:pPr>
          </w:p>
        </w:tc>
        <w:tc>
          <w:tcPr>
            <w:tcW w:w="420" w:type="dxa"/>
            <w:vAlign w:val="bottom"/>
            <w:tcBorders>
              <w:top w:val="single" w:sz="8" w:color="CFF0FC"/>
              <w:bottom w:val="single" w:sz="8" w:color="CFF0FC"/>
            </w:tcBorders>
            <w:gridSpan w:val="4"/>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line="175" w:lineRule="exact"/>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5"/>
                <w:szCs w:val="15"/>
                <w:color w:val="auto"/>
              </w:rPr>
            </w:pPr>
          </w:p>
        </w:tc>
        <w:tc>
          <w:tcPr>
            <w:tcW w:w="6600" w:type="dxa"/>
            <w:vAlign w:val="bottom"/>
            <w:gridSpan w:val="10"/>
          </w:tcPr>
          <w:p>
            <w:pPr>
              <w:spacing w:after="0" w:line="175" w:lineRule="exact"/>
              <w:rPr>
                <w:sz w:val="20"/>
                <w:szCs w:val="20"/>
                <w:color w:val="auto"/>
              </w:rPr>
            </w:pPr>
            <w:r>
              <w:rPr>
                <w:rFonts w:ascii="Arial" w:cs="Arial" w:eastAsia="Arial" w:hAnsi="Arial"/>
                <w:sz w:val="18"/>
                <w:szCs w:val="18"/>
                <w:color w:val="auto"/>
              </w:rPr>
              <w:t>Inline XBRL Instance Document – the instance document does not appear in the</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0" w:type="dxa"/>
            <w:vAlign w:val="bottom"/>
            <w:gridSpan w:val="10"/>
          </w:tcPr>
          <w:p>
            <w:pPr>
              <w:spacing w:after="0" w:line="189" w:lineRule="exact"/>
              <w:rPr>
                <w:sz w:val="20"/>
                <w:szCs w:val="20"/>
                <w:color w:val="auto"/>
              </w:rPr>
            </w:pPr>
            <w:r>
              <w:rPr>
                <w:rFonts w:ascii="Arial" w:cs="Arial" w:eastAsia="Arial" w:hAnsi="Arial"/>
                <w:sz w:val="18"/>
                <w:szCs w:val="18"/>
                <w:color w:val="auto"/>
              </w:rPr>
              <w:t>Interactive Data File because XBRL tags are embedded within the Inline XBRL</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shd w:val="clear" w:color="auto" w:fill="CFF0FC"/>
          </w:tcPr>
          <w:p>
            <w:pPr>
              <w:spacing w:after="0"/>
              <w:rPr>
                <w:sz w:val="20"/>
                <w:szCs w:val="20"/>
                <w:color w:val="auto"/>
              </w:rPr>
            </w:pPr>
          </w:p>
        </w:tc>
        <w:tc>
          <w:tcPr>
            <w:tcW w:w="6600" w:type="dxa"/>
            <w:vAlign w:val="bottom"/>
            <w:gridSpan w:val="10"/>
            <w:shd w:val="clear" w:color="auto" w:fill="CFF0FC"/>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20"/>
                <w:szCs w:val="20"/>
                <w:color w:val="auto"/>
              </w:rPr>
            </w:pPr>
          </w:p>
        </w:tc>
        <w:tc>
          <w:tcPr>
            <w:tcW w:w="66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101.DEF</w:t>
            </w:r>
          </w:p>
        </w:tc>
        <w:tc>
          <w:tcPr>
            <w:tcW w:w="140" w:type="dxa"/>
            <w:vAlign w:val="bottom"/>
            <w:shd w:val="clear" w:color="auto" w:fill="CFF0FC"/>
          </w:tcPr>
          <w:p>
            <w:pPr>
              <w:spacing w:after="0"/>
              <w:rPr>
                <w:sz w:val="20"/>
                <w:szCs w:val="20"/>
                <w:color w:val="auto"/>
              </w:rPr>
            </w:pPr>
          </w:p>
        </w:tc>
        <w:tc>
          <w:tcPr>
            <w:tcW w:w="6600" w:type="dxa"/>
            <w:vAlign w:val="bottom"/>
            <w:gridSpan w:val="10"/>
            <w:shd w:val="clear" w:color="auto" w:fill="CFF0FC"/>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20"/>
                <w:szCs w:val="20"/>
                <w:color w:val="auto"/>
              </w:rPr>
            </w:pPr>
          </w:p>
        </w:tc>
        <w:tc>
          <w:tcPr>
            <w:tcW w:w="66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101.PRE</w:t>
            </w:r>
          </w:p>
        </w:tc>
        <w:tc>
          <w:tcPr>
            <w:tcW w:w="140" w:type="dxa"/>
            <w:vAlign w:val="bottom"/>
            <w:shd w:val="clear" w:color="auto" w:fill="CFF0FC"/>
          </w:tcPr>
          <w:p>
            <w:pPr>
              <w:spacing w:after="0"/>
              <w:rPr>
                <w:sz w:val="20"/>
                <w:szCs w:val="20"/>
                <w:color w:val="auto"/>
              </w:rPr>
            </w:pPr>
          </w:p>
        </w:tc>
        <w:tc>
          <w:tcPr>
            <w:tcW w:w="6600" w:type="dxa"/>
            <w:vAlign w:val="bottom"/>
            <w:gridSpan w:val="10"/>
            <w:shd w:val="clear" w:color="auto" w:fill="CFF0FC"/>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line="175"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5"/>
                <w:szCs w:val="15"/>
                <w:color w:val="auto"/>
              </w:rPr>
            </w:pPr>
          </w:p>
        </w:tc>
        <w:tc>
          <w:tcPr>
            <w:tcW w:w="6600" w:type="dxa"/>
            <w:vAlign w:val="bottom"/>
            <w:gridSpan w:val="10"/>
          </w:tcPr>
          <w:p>
            <w:pPr>
              <w:spacing w:after="0" w:line="175" w:lineRule="exact"/>
              <w:rPr>
                <w:sz w:val="20"/>
                <w:szCs w:val="20"/>
                <w:color w:val="auto"/>
              </w:rPr>
            </w:pPr>
            <w:r>
              <w:rPr>
                <w:rFonts w:ascii="Arial" w:cs="Arial" w:eastAsia="Arial" w:hAnsi="Arial"/>
                <w:sz w:val="18"/>
                <w:szCs w:val="18"/>
                <w:color w:val="auto"/>
                <w:w w:val="98"/>
              </w:rPr>
              <w:t>Cover Page Interactive Data File (formatted as inline XBRL and contained in Exhibit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3200" w:type="dxa"/>
            <w:vAlign w:val="bottom"/>
            <w:gridSpan w:val="2"/>
          </w:tcPr>
          <w:p>
            <w:pPr>
              <w:ind w:left="1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95059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Furnished herewith. Any exhibits furnished herewith (including the certification furnished in Exhibit 32.1) are deemed to accompany this Quarterly</w:t>
      </w:r>
    </w:p>
    <w:p>
      <w:pPr>
        <w:spacing w:after="0" w:line="34" w:lineRule="exact"/>
        <w:rPr>
          <w:rFonts w:ascii="Arial" w:cs="Arial" w:eastAsia="Arial" w:hAnsi="Arial"/>
          <w:sz w:val="16"/>
          <w:szCs w:val="16"/>
          <w:color w:val="auto"/>
        </w:rPr>
      </w:pPr>
    </w:p>
    <w:p>
      <w:pPr>
        <w:spacing w:after="0" w:line="242" w:lineRule="auto"/>
        <w:rPr>
          <w:rFonts w:ascii="Arial" w:cs="Arial" w:eastAsia="Arial" w:hAnsi="Arial"/>
          <w:sz w:val="16"/>
          <w:szCs w:val="16"/>
          <w:color w:val="auto"/>
        </w:rPr>
      </w:pPr>
      <w:r>
        <w:rPr>
          <w:rFonts w:ascii="Arial" w:cs="Arial" w:eastAsia="Arial" w:hAnsi="Arial"/>
          <w:sz w:val="18"/>
          <w:szCs w:val="18"/>
          <w:color w:val="auto"/>
        </w:rPr>
        <w:t>Report on Form 10-Q and will not be deemed ‘filed’ for purposes of Section 18 of the Securities Exchange Act of 1934, as amended, or otherwise subject to the liability of that section, except to the extent that the registrant specifically incorporates it by reference.</w:t>
      </w:r>
    </w:p>
    <w:p>
      <w:pPr>
        <w:spacing w:after="0" w:line="1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3" w:right="5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Willis Towers Watson Public Limited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/s/ Carl A. Hess</w:t>
            </w:r>
          </w:p>
        </w:tc>
        <w:tc>
          <w:tcPr>
            <w:tcW w:w="60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October 27, 2022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04"/>
        </w:trPr>
        <w:tc>
          <w:tcPr>
            <w:tcW w:w="800" w:type="dxa"/>
            <w:vAlign w:val="bottom"/>
          </w:tcPr>
          <w:p>
            <w:pPr>
              <w:ind w:left="40"/>
              <w:spacing w:after="0"/>
              <w:rPr>
                <w:sz w:val="20"/>
                <w:szCs w:val="20"/>
                <w:color w:val="auto"/>
              </w:rPr>
            </w:pPr>
            <w:r>
              <w:rPr>
                <w:rFonts w:ascii="Arial" w:cs="Arial" w:eastAsia="Arial" w:hAnsi="Arial"/>
                <w:sz w:val="18"/>
                <w:szCs w:val="18"/>
                <w:color w:val="auto"/>
              </w:rPr>
              <w:t>Name:</w:t>
            </w:r>
          </w:p>
        </w:tc>
        <w:tc>
          <w:tcPr>
            <w:tcW w:w="4560" w:type="dxa"/>
            <w:vAlign w:val="bottom"/>
          </w:tcPr>
          <w:p>
            <w:pPr>
              <w:ind w:left="280"/>
              <w:spacing w:after="0"/>
              <w:rPr>
                <w:sz w:val="20"/>
                <w:szCs w:val="20"/>
                <w:color w:val="auto"/>
              </w:rPr>
            </w:pPr>
            <w:r>
              <w:rPr>
                <w:rFonts w:ascii="Arial" w:cs="Arial" w:eastAsia="Arial" w:hAnsi="Arial"/>
                <w:sz w:val="18"/>
                <w:szCs w:val="18"/>
                <w:color w:val="auto"/>
              </w:rPr>
              <w:t>Carl A. Hess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324"/>
        </w:trPr>
        <w:tc>
          <w:tcPr>
            <w:tcW w:w="800" w:type="dxa"/>
            <w:vAlign w:val="bottom"/>
          </w:tcPr>
          <w:p>
            <w:pPr>
              <w:ind w:left="40"/>
              <w:spacing w:after="0"/>
              <w:rPr>
                <w:sz w:val="20"/>
                <w:szCs w:val="20"/>
                <w:color w:val="auto"/>
              </w:rPr>
            </w:pPr>
            <w:r>
              <w:rPr>
                <w:rFonts w:ascii="Arial" w:cs="Arial" w:eastAsia="Arial" w:hAnsi="Arial"/>
                <w:sz w:val="18"/>
                <w:szCs w:val="18"/>
                <w:color w:val="auto"/>
              </w:rPr>
              <w:t>Title:</w:t>
            </w:r>
          </w:p>
        </w:tc>
        <w:tc>
          <w:tcPr>
            <w:tcW w:w="456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2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/s/ Andrew J. Krasner</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October 27, 2022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04"/>
        </w:trPr>
        <w:tc>
          <w:tcPr>
            <w:tcW w:w="800" w:type="dxa"/>
            <w:vAlign w:val="bottom"/>
          </w:tcPr>
          <w:p>
            <w:pPr>
              <w:ind w:left="40"/>
              <w:spacing w:after="0"/>
              <w:rPr>
                <w:sz w:val="20"/>
                <w:szCs w:val="20"/>
                <w:color w:val="auto"/>
              </w:rPr>
            </w:pPr>
            <w:r>
              <w:rPr>
                <w:rFonts w:ascii="Arial" w:cs="Arial" w:eastAsia="Arial" w:hAnsi="Arial"/>
                <w:sz w:val="18"/>
                <w:szCs w:val="18"/>
                <w:color w:val="auto"/>
              </w:rPr>
              <w:t>Name:</w:t>
            </w:r>
          </w:p>
        </w:tc>
        <w:tc>
          <w:tcPr>
            <w:tcW w:w="4560" w:type="dxa"/>
            <w:vAlign w:val="bottom"/>
          </w:tcPr>
          <w:p>
            <w:pPr>
              <w:ind w:left="280"/>
              <w:spacing w:after="0"/>
              <w:rPr>
                <w:sz w:val="20"/>
                <w:szCs w:val="20"/>
                <w:color w:val="auto"/>
              </w:rPr>
            </w:pPr>
            <w:r>
              <w:rPr>
                <w:rFonts w:ascii="Arial" w:cs="Arial" w:eastAsia="Arial" w:hAnsi="Arial"/>
                <w:sz w:val="18"/>
                <w:szCs w:val="18"/>
                <w:color w:val="auto"/>
              </w:rPr>
              <w:t>Andrew J. Krasner</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324"/>
        </w:trPr>
        <w:tc>
          <w:tcPr>
            <w:tcW w:w="800" w:type="dxa"/>
            <w:vAlign w:val="bottom"/>
          </w:tcPr>
          <w:p>
            <w:pPr>
              <w:ind w:left="40"/>
              <w:spacing w:after="0"/>
              <w:rPr>
                <w:sz w:val="20"/>
                <w:szCs w:val="20"/>
                <w:color w:val="auto"/>
              </w:rPr>
            </w:pPr>
            <w:r>
              <w:rPr>
                <w:rFonts w:ascii="Arial" w:cs="Arial" w:eastAsia="Arial" w:hAnsi="Arial"/>
                <w:sz w:val="18"/>
                <w:szCs w:val="18"/>
                <w:color w:val="auto"/>
              </w:rPr>
              <w:t>Title:</w:t>
            </w:r>
          </w:p>
        </w:tc>
        <w:tc>
          <w:tcPr>
            <w:tcW w:w="456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2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/s/ Joseph S. Kurpis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October 27, 2022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04"/>
        </w:trPr>
        <w:tc>
          <w:tcPr>
            <w:tcW w:w="800" w:type="dxa"/>
            <w:vAlign w:val="bottom"/>
          </w:tcPr>
          <w:p>
            <w:pPr>
              <w:ind w:left="40"/>
              <w:spacing w:after="0"/>
              <w:rPr>
                <w:sz w:val="20"/>
                <w:szCs w:val="20"/>
                <w:color w:val="auto"/>
              </w:rPr>
            </w:pPr>
            <w:r>
              <w:rPr>
                <w:rFonts w:ascii="Arial" w:cs="Arial" w:eastAsia="Arial" w:hAnsi="Arial"/>
                <w:sz w:val="18"/>
                <w:szCs w:val="18"/>
                <w:color w:val="auto"/>
              </w:rPr>
              <w:t>Name:</w:t>
            </w:r>
          </w:p>
        </w:tc>
        <w:tc>
          <w:tcPr>
            <w:tcW w:w="4560" w:type="dxa"/>
            <w:vAlign w:val="bottom"/>
          </w:tcPr>
          <w:p>
            <w:pPr>
              <w:ind w:left="280"/>
              <w:spacing w:after="0"/>
              <w:rPr>
                <w:sz w:val="20"/>
                <w:szCs w:val="20"/>
                <w:color w:val="auto"/>
              </w:rPr>
            </w:pPr>
            <w:r>
              <w:rPr>
                <w:rFonts w:ascii="Arial" w:cs="Arial" w:eastAsia="Arial" w:hAnsi="Arial"/>
                <w:sz w:val="18"/>
                <w:szCs w:val="18"/>
                <w:color w:val="auto"/>
              </w:rPr>
              <w:t>Joseph S. Kurpis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324"/>
        </w:trPr>
        <w:tc>
          <w:tcPr>
            <w:tcW w:w="800" w:type="dxa"/>
            <w:vAlign w:val="bottom"/>
          </w:tcPr>
          <w:p>
            <w:pPr>
              <w:ind w:left="40"/>
              <w:spacing w:after="0"/>
              <w:rPr>
                <w:sz w:val="20"/>
                <w:szCs w:val="20"/>
                <w:color w:val="auto"/>
              </w:rPr>
            </w:pPr>
            <w:r>
              <w:rPr>
                <w:rFonts w:ascii="Arial" w:cs="Arial" w:eastAsia="Arial" w:hAnsi="Arial"/>
                <w:sz w:val="18"/>
                <w:szCs w:val="18"/>
                <w:color w:val="auto"/>
              </w:rPr>
              <w:t>Title:</w:t>
            </w:r>
          </w:p>
        </w:tc>
        <w:tc>
          <w:tcPr>
            <w:tcW w:w="4560" w:type="dxa"/>
            <w:vAlign w:val="bottom"/>
          </w:tcPr>
          <w:p>
            <w:pPr>
              <w:ind w:left="280"/>
              <w:spacing w:after="0"/>
              <w:rPr>
                <w:sz w:val="20"/>
                <w:szCs w:val="20"/>
                <w:color w:val="auto"/>
              </w:rPr>
            </w:pPr>
            <w:r>
              <w:rPr>
                <w:rFonts w:ascii="Arial" w:cs="Arial" w:eastAsia="Arial" w:hAnsi="Arial"/>
                <w:sz w:val="18"/>
                <w:szCs w:val="18"/>
                <w:color w:val="auto"/>
              </w:rPr>
              <w:t>Principal Accounting Officer and Controller</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593"/>
        </w:trPr>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12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4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 AND 15d-14 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Carl A. Hess, certify that:</w:t>
      </w:r>
    </w:p>
    <w:p>
      <w:pPr>
        <w:spacing w:after="0" w:line="103"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Willis Towers Watson Public Limited Company;</w:t>
      </w:r>
    </w:p>
    <w:p>
      <w:pPr>
        <w:spacing w:after="0" w:line="116" w:lineRule="exact"/>
        <w:rPr>
          <w:rFonts w:ascii="Arial" w:cs="Arial" w:eastAsia="Arial" w:hAnsi="Arial"/>
          <w:sz w:val="18"/>
          <w:szCs w:val="18"/>
          <w:color w:val="auto"/>
        </w:rPr>
      </w:pPr>
    </w:p>
    <w:p>
      <w:pPr>
        <w:jc w:val="both"/>
        <w:ind w:left="480" w:right="300" w:hanging="472"/>
        <w:spacing w:after="0" w:line="247"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80" w:right="260" w:hanging="472"/>
        <w:spacing w:after="0" w:line="307"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480" w:right="340" w:hanging="472"/>
        <w:spacing w:after="0" w:line="255"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68" w:lineRule="exact"/>
        <w:rPr>
          <w:rFonts w:ascii="Arial" w:cs="Arial" w:eastAsia="Arial" w:hAnsi="Arial"/>
          <w:sz w:val="18"/>
          <w:szCs w:val="18"/>
          <w:color w:val="auto"/>
        </w:rPr>
      </w:pPr>
    </w:p>
    <w:p>
      <w:pPr>
        <w:ind w:left="960" w:right="80" w:hanging="473"/>
        <w:spacing w:after="0" w:line="255"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960" w:right="400" w:hanging="473"/>
        <w:spacing w:after="0" w:line="255"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960" w:right="560" w:hanging="473"/>
        <w:spacing w:after="0" w:line="324" w:lineRule="auto"/>
        <w:tabs>
          <w:tab w:leader="none" w:pos="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80" w:hanging="473"/>
        <w:spacing w:after="0" w:line="247"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80" w:right="180" w:hanging="472"/>
        <w:spacing w:after="0" w:line="307"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w:t>
      </w:r>
    </w:p>
    <w:p>
      <w:pPr>
        <w:spacing w:after="0" w:line="25" w:lineRule="exact"/>
        <w:rPr>
          <w:rFonts w:ascii="Arial" w:cs="Arial" w:eastAsia="Arial" w:hAnsi="Arial"/>
          <w:sz w:val="17"/>
          <w:szCs w:val="17"/>
          <w:color w:val="auto"/>
        </w:rPr>
      </w:pPr>
    </w:p>
    <w:p>
      <w:pPr>
        <w:ind w:left="960" w:right="800" w:hanging="473"/>
        <w:spacing w:after="0" w:line="324" w:lineRule="auto"/>
        <w:tabs>
          <w:tab w:leader="none" w:pos="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500" w:hanging="473"/>
        <w:spacing w:after="0" w:line="261"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27,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060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Carl A. Hess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SECURITIES EXCHANGE ACT RULES 13a-14 AND 15d-14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Andrew J. Krasner, certify that:</w:t>
      </w:r>
    </w:p>
    <w:p>
      <w:pPr>
        <w:spacing w:after="0" w:line="103"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Willis Towers Watson Public Limited Company;</w:t>
      </w:r>
    </w:p>
    <w:p>
      <w:pPr>
        <w:spacing w:after="0" w:line="103" w:lineRule="exact"/>
        <w:rPr>
          <w:rFonts w:ascii="Arial" w:cs="Arial" w:eastAsia="Arial" w:hAnsi="Arial"/>
          <w:sz w:val="18"/>
          <w:szCs w:val="18"/>
          <w:color w:val="auto"/>
        </w:rPr>
      </w:pPr>
    </w:p>
    <w:p>
      <w:pPr>
        <w:jc w:val="both"/>
        <w:ind w:left="480" w:right="300" w:hanging="472"/>
        <w:spacing w:after="0" w:line="255"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480" w:right="260" w:hanging="472"/>
        <w:spacing w:after="0" w:line="290"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480" w:right="340" w:hanging="472"/>
        <w:spacing w:after="0" w:line="247"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89" w:lineRule="exact"/>
        <w:rPr>
          <w:rFonts w:ascii="Arial" w:cs="Arial" w:eastAsia="Arial" w:hAnsi="Arial"/>
          <w:sz w:val="18"/>
          <w:szCs w:val="18"/>
          <w:color w:val="auto"/>
        </w:rPr>
      </w:pPr>
    </w:p>
    <w:p>
      <w:pPr>
        <w:ind w:left="960" w:right="80" w:hanging="473"/>
        <w:spacing w:after="0" w:line="247"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400" w:hanging="473"/>
        <w:spacing w:after="0" w:line="247"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560" w:hanging="473"/>
        <w:spacing w:after="0" w:line="324" w:lineRule="auto"/>
        <w:tabs>
          <w:tab w:leader="none" w:pos="9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73"/>
        <w:spacing w:after="0" w:line="255"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80" w:right="180" w:hanging="472"/>
        <w:spacing w:after="0" w:line="290"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w:t>
      </w:r>
    </w:p>
    <w:p>
      <w:pPr>
        <w:spacing w:after="0" w:line="53" w:lineRule="exact"/>
        <w:rPr>
          <w:rFonts w:ascii="Arial" w:cs="Arial" w:eastAsia="Arial" w:hAnsi="Arial"/>
          <w:sz w:val="17"/>
          <w:szCs w:val="17"/>
          <w:color w:val="auto"/>
        </w:rPr>
      </w:pPr>
    </w:p>
    <w:p>
      <w:pPr>
        <w:ind w:left="960" w:right="800" w:hanging="473"/>
        <w:spacing w:after="0" w:line="324" w:lineRule="auto"/>
        <w:tabs>
          <w:tab w:leader="none" w:pos="9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73"/>
        <w:spacing w:after="0" w:line="277"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27,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060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J. Krasner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Each of the undersigned hereby certifies, in his capacity as an officer of Willis Towers Watson Public Limited Company (the “Company”), for purposes of 18 U.S.C. Section 1350, as adopted pursuant to Section 906 of the Sarbanes-Oxley Act of 2002, that to the best of his knowledge:</w:t>
      </w:r>
    </w:p>
    <w:p>
      <w:pPr>
        <w:spacing w:after="0" w:line="40" w:lineRule="exact"/>
        <w:rPr>
          <w:sz w:val="20"/>
          <w:szCs w:val="20"/>
          <w:color w:val="auto"/>
        </w:rPr>
      </w:pPr>
    </w:p>
    <w:p>
      <w:pPr>
        <w:ind w:left="1040" w:right="460" w:hanging="567"/>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September 30, 2022, fully complies with the requirements of Section 13(a) or Section 15(d) of the Securities Exchange Act of 1934; and</w:t>
      </w:r>
    </w:p>
    <w:p>
      <w:pPr>
        <w:spacing w:after="0" w:line="48" w:lineRule="exact"/>
        <w:rPr>
          <w:rFonts w:ascii="Arial" w:cs="Arial" w:eastAsia="Arial" w:hAnsi="Arial"/>
          <w:sz w:val="18"/>
          <w:szCs w:val="18"/>
          <w:color w:val="auto"/>
        </w:rPr>
      </w:pPr>
    </w:p>
    <w:p>
      <w:pPr>
        <w:ind w:left="1040" w:right="500" w:hanging="567"/>
        <w:spacing w:after="0" w:line="261"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such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27,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060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Carl A. Hess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06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J. Krasner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10" w:lineRule="exact"/>
        <w:rPr>
          <w:sz w:val="20"/>
          <w:szCs w:val="20"/>
          <w:color w:val="auto"/>
        </w:rPr>
      </w:pPr>
    </w:p>
    <w:p>
      <w:pPr>
        <w:ind w:right="560"/>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Willis Towers Watson Public Limited Company and will be retained by Willis Towers Watson Public Limited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Roman"/>
      <w:start w:val="1"/>
    </w:lvl>
  </w:abstractNum>
  <w:abstractNum w:abstractNumId="5">
    <w:nsid w:val="257130A3"/>
    <w:multiLevelType w:val="hybridMultilevel"/>
    <w:lvl w:ilvl="0">
      <w:lvlJc w:val="left"/>
      <w:lvlText w:val="(%1)"/>
      <w:numFmt w:val="lowerRoman"/>
      <w:start w:val="1"/>
    </w:lvl>
  </w:abstractNum>
  <w:abstractNum w:abstractNumId="6">
    <w:nsid w:val="62BBD95A"/>
    <w:multiLevelType w:val="hybridMultilevel"/>
    <w:lvl w:ilvl="0">
      <w:lvlJc w:val="left"/>
      <w:lvlText w:val="(%1)"/>
      <w:numFmt w:val="lowerRoman"/>
      <w:start w:val="1"/>
    </w:lvl>
  </w:abstractNum>
  <w:abstractNum w:abstractNumId="7">
    <w:nsid w:val="436C6125"/>
    <w:multiLevelType w:val="hybridMultilevel"/>
    <w:lvl w:ilvl="0">
      <w:lvlJc w:val="left"/>
      <w:lvlText w:val="(%1)"/>
      <w:numFmt w:val="lowerRoman"/>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emdash "/>
      <w:numFmt w:val="bullet"/>
      <w:start w:val="1"/>
    </w:lvl>
  </w:abstractNum>
  <w:abstractNum w:abstractNumId="10">
    <w:nsid w:val="721DA317"/>
    <w:multiLevelType w:val="hybridMultilevel"/>
    <w:lvl w:ilvl="0">
      <w:lvlJc w:val="left"/>
      <w:lvlText w:val="(%1)"/>
      <w:numFmt w:val="lowerRoman"/>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lowerRoman"/>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lowerRoman"/>
      <w:start w:val="1"/>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1)"/>
      <w:numFmt w:val="lowerRoman"/>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1)"/>
      <w:numFmt w:val="lowerRoman"/>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lowerRoman"/>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497" Type="http://schemas.openxmlformats.org/officeDocument/2006/relationships/hyperlink" Target="https://www.sec.gov/Archives/edgar/data/1140536/000095017022013342/wtw-ex2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2022-10-27T16:53:11Z</dcterms:created>
  <dcterms:modified xsi:type="dcterms:W3CDTF">2022-10-27T16:53:11Z</dcterms:modified>
</cp:coreProperties>
</file>