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Pullum 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WILLIS GROUP LIMITED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 LIME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EC3M 7DQ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WILLIS TOWERS WATSON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WTW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Co-Head of Corporate Dev.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04/20/2026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1"/>
        <w:gridCol w:w="894"/>
        <w:gridCol w:w="771"/>
        <w:gridCol w:w="594"/>
        <w:gridCol w:w="320"/>
        <w:gridCol w:w="1170"/>
        <w:gridCol w:w="377"/>
        <w:gridCol w:w="817"/>
        <w:gridCol w:w="1438"/>
        <w:gridCol w:w="901"/>
        <w:gridCol w:w="88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1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8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Shares, nominal value $0.000304635 per share</w:t>
            </w:r>
          </w:p>
        </w:tc>
        <w:tc>
          <w:tcPr>
            <w:tcW w:w="8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1,053.749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22,507.9433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Shares, nominal value $0.000304635 per share</w:t>
            </w:r>
          </w:p>
        </w:tc>
        <w:tc>
          <w:tcPr>
            <w:tcW w:w="8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144.263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297.64</w:t>
            </w:r>
            <w:r>
              <w:rPr/>
              <w:t xml:space="preserve"> 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22,363.6803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Comprised of 1,053.749 time-based restricted share units ("RSUs"), which represent the right to receive ordinary shares, par value $0.000304635 per share, of the Issuer. The RSUs shall vest ratably over a three-year period as of the first, second and third anniversaries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12 shares relating to dividend equivalent rights that previously accrued on the reporting person's RSU awards and were not included in the prior Form 4 due to processing and settlement on April 21,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Withholding of shares by Issuer incident to the tax payment related to the vesting and settlement of RSUs granted on April 20,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Anne Pullum by Gary Pang, Attorney-in-Fact (power of attorney previously filed)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8834" TargetMode="External"/><Relationship Id="rId5" Type="http://schemas.openxmlformats.org/officeDocument/2006/relationships/hyperlink" Target="http://www.sec.gov/cgi-bin/browse-edgar?action=getcompany&amp;CIK=000114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698</Words>
  <Characters>3778</Characters>
  <CharactersWithSpaces>4409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