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Furman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0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1341"/>
        <w:gridCol w:w="921"/>
        <w:gridCol w:w="801"/>
        <w:gridCol w:w="1071"/>
        <w:gridCol w:w="831"/>
        <w:gridCol w:w="846"/>
      </w:tblGrid>
      <w:tr>
        <w:trPr>
          <w:tblHeader w:val="true"/>
        </w:trPr>
        <w:tc>
          <w:tcPr>
            <w:tcW w:w="130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50.0885</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50.0885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3,732.6281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7.0915</w:t>
            </w:r>
            <w:r>
              <w:rPr>
                <w:rFonts w:ascii="Times;serif" w:hAnsi="Times;serif"/>
                <w:color w:val="008000"/>
                <w:position w:val="7"/>
                <w:sz w:val="16"/>
                <w:sz w:val="20"/>
                <w:shd w:fill="FFFFFF" w:val="clear"/>
              </w:rPr>
              <w:t>(4)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2,612.2987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restricted share units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restricted share units acquired pursuant to the participant's deferral election under the Willis Towers Watson Non-Qualified Stable Value Excess Plan for U.S. Employees.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Furman by Lina Vanessa Jaramillo,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7389"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790</Words>
  <Characters>4356</Characters>
  <CharactersWithSpaces>5059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