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Clarke Lucy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of Risk &amp; Broking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3"/>
        <w:gridCol w:w="899"/>
        <w:gridCol w:w="771"/>
        <w:gridCol w:w="597"/>
        <w:gridCol w:w="337"/>
        <w:gridCol w:w="946"/>
        <w:gridCol w:w="423"/>
        <w:gridCol w:w="586"/>
        <w:gridCol w:w="1330"/>
        <w:gridCol w:w="958"/>
        <w:gridCol w:w="9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41.075</w:t>
            </w:r>
            <w:r>
              <w:rPr>
                <w:rFonts w:ascii="Times;serif" w:hAnsi="Times;serif"/>
                <w:color w:val="008000"/>
                <w:position w:val="7"/>
                <w:sz w:val="16"/>
                <w:sz w:val="20"/>
                <w:shd w:fill="FFFFFF" w:val="clear"/>
              </w:rPr>
              <w:t>(1)</w:t>
            </w:r>
            <w:r>
              <w:rPr/>
              <w:t xml:space="preserve"> </w:t>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22,758.528</w:t>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Lucy Clarke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8612"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3389</Characters>
  <CharactersWithSpaces>3951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