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Faber Alexis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WILLIS GROUP LIMITED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LIME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7DQ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WILLIS TOWERS WATSON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3"/>
        <w:gridCol w:w="777"/>
        <w:gridCol w:w="600"/>
        <w:gridCol w:w="328"/>
        <w:gridCol w:w="723"/>
        <w:gridCol w:w="394"/>
        <w:gridCol w:w="929"/>
        <w:gridCol w:w="1306"/>
        <w:gridCol w:w="926"/>
        <w:gridCol w:w="113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nominal value $0.000304635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730</w:t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342.701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10,751.542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nominal value $0.000304635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Directly held by immediate family member.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Alexis Faber by Gary Pang, Attorney-in-Fact (power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149" TargetMode="External"/><Relationship Id="rId5" Type="http://schemas.openxmlformats.org/officeDocument/2006/relationships/hyperlink" Target="http://www.sec.gov/cgi-bin/browse-edgar?action=getcompany&amp;CIK=000114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3270</Characters>
  <CharactersWithSpaces>3796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